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11.05.2023 09:00:07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реагенаса за апарат Неоцхем 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3569/2022, 12.12.2022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33696500-Лабораторијски реагенси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неопходних реагенаса за несметано функционисање одељења лабораторије у установи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2022/С Ф02-0047395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14.12.2022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23.12.2022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Набавка реагенаса за апарат Неоцхем 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23.12.2022 12:30:00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23.12.2022 12:30:09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НЕОМЕДИЦА ДОО НИШ, БУЛЕВАР СВЕТОГ ЦАРА КОНСТАНТИНА, 82-86,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213/22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20.12.2022. 11:43:59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419710.00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503652.00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419710.00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503652.00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419.710,00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503.652,00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419.710,00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