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tbl>
      <w:tblPr>
        <w:tblCellMar>
          <w:left w:w="0" w:type="dxa"/>
          <w:right w:w="0" w:type="dxa"/>
        </w:tblCellMar>
        <w:tblLook w:val="0000"/>
      </w:tblPr>
      <w:tblGrid>
        <w:gridCol w:w="11"/>
        <w:gridCol w:w="4422"/>
        <w:gridCol w:w="10964"/>
        <w:gridCol w:w="13"/>
        <w:gridCol w:w="179"/>
      </w:tblGrid>
      <w:tr>
        <w:tblPrEx>
          <w:tblCellMar>
            <w:left w:w="0" w:type="dxa"/>
            <w:right w:w="0" w:type="dxa"/>
          </w:tblCellMar>
          <w:tblLook w:val="0000"/>
        </w:tblPrEx>
        <w:trPr>
          <w:trHeight w:val="453"/>
        </w:trPr>
        <w:tc>
          <w:tcPr>
            <w:tcW w:w="15589" w:type="dxa"/>
            <w:gridSpan w:val="5"/>
            <w:shd w:val="clear" w:color="auto" w:fill="auto"/>
          </w:tcPr>
          <w:tbl>
            <w:tblPr>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bidi w:val="0"/>
                    <w:jc w:val="center"/>
                  </w:pPr>
                  <w:r>
                    <w:rPr>
                      <w:rFonts w:ascii="Calibri" w:eastAsia="Calibri" w:hAnsi="Calibri"/>
                      <w:b/>
                      <w:i w:val="0"/>
                      <w:color w:val="000000"/>
                      <w:sz w:val="28"/>
                    </w:rPr>
                    <w:t>ИЗВЕШТАЈ О ПОСТУПКУ</w:t>
                  </w:r>
                </w:p>
              </w:tc>
            </w:tr>
          </w:tbl>
          <w:p/>
        </w:tc>
      </w:tr>
      <w:tr>
        <w:tblPrEx>
          <w:tblCellMar>
            <w:left w:w="0" w:type="dxa"/>
            <w:right w:w="0" w:type="dxa"/>
          </w:tblCellMar>
          <w:tblLook w:val="0000"/>
        </w:tblPrEx>
        <w:trPr>
          <w:trHeight w:val="453"/>
        </w:trPr>
        <w:tc>
          <w:tcPr>
            <w:tcW w:w="15589" w:type="dxa"/>
            <w:gridSpan w:val="5"/>
            <w:shd w:val="clear" w:color="auto" w:fill="auto"/>
          </w:tcPr>
          <w:tbl>
            <w:tblPr>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bidi w:val="0"/>
                    <w:jc w:val="center"/>
                  </w:pPr>
                  <w:r>
                    <w:rPr>
                      <w:rFonts w:ascii="Calibri" w:eastAsia="Calibri" w:hAnsi="Calibri"/>
                      <w:b w:val="0"/>
                      <w:i w:val="0"/>
                      <w:color w:val="000000"/>
                      <w:sz w:val="20"/>
                    </w:rPr>
                    <w:t>Датум креирања извештаја: 11.05.2023 08:54:54</w:t>
                  </w:r>
                </w:p>
              </w:tc>
            </w:tr>
          </w:tbl>
          <w:p/>
        </w:tc>
      </w:tr>
      <w:tr>
        <w:tblPrEx>
          <w:tblCellMar>
            <w:left w:w="0" w:type="dxa"/>
            <w:right w:w="0" w:type="dxa"/>
          </w:tblCellMar>
          <w:tblLook w:val="0000"/>
        </w:tblPrEx>
        <w:trPr>
          <w:trHeight w:val="40"/>
        </w:trPr>
        <w:tc>
          <w:tcPr>
            <w:tcW w:w="11" w:type="dxa"/>
            <w:shd w:val="clear" w:color="auto" w:fill="auto"/>
          </w:tcPr>
          <w:p>
            <w:pPr>
              <w:pStyle w:val="EmptyLayoutCell"/>
            </w:pPr>
          </w:p>
        </w:tc>
        <w:tc>
          <w:tcPr>
            <w:tcW w:w="4422" w:type="dxa"/>
            <w:shd w:val="clear" w:color="auto" w:fill="auto"/>
          </w:tcPr>
          <w:p>
            <w:pPr>
              <w:pStyle w:val="EmptyLayoutCell"/>
            </w:pPr>
          </w:p>
        </w:tc>
        <w:tc>
          <w:tcPr>
            <w:tcW w:w="10964"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c>
          <w:tcPr>
            <w:tcW w:w="15397" w:type="dxa"/>
            <w:gridSpan w:val="3"/>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bidi w:val="0"/>
                    <w:jc w:val="left"/>
                  </w:pPr>
                  <w:r>
                    <w:rPr>
                      <w:rFonts w:ascii="Calibri" w:eastAsia="Calibri" w:hAnsi="Calibri"/>
                      <w:b/>
                      <w:i w:val="0"/>
                      <w:color w:val="000000"/>
                      <w:sz w:val="24"/>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Назив поступка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Набавка реагенаса и контрола за за апарат „Пхоениx НЦЦ - 61“ и  ПОЦ апарат„НW 37“</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Реф. број</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ЈН 9</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Врста поступка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Преговарачки поступак без објављивања јавног позива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Број и датум одлуке о спровођењу</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3568/2022, 12.12.2022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Процењена вредност</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2.550.000,00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Техника</w:t>
                  </w:r>
                </w:p>
              </w:tc>
              <w:tc>
                <w:tcPr>
                  <w:tcW w:w="11645" w:type="dxa"/>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ЦПВ</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33696500-Лабораторијски реагенси</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Кратак опис набавке</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Набавка неопходних реагенаса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Подељен у партије</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НЕ</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Образложење зашто предмет није подељен у партије</w:t>
                  </w:r>
                </w:p>
              </w:tc>
              <w:tc>
                <w:tcPr>
                  <w:tcW w:w="11645" w:type="dxa"/>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Правни основ за покретање поступка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 xml:space="preserve">Члан 61. став 1. тач. 1) подтач. (2)-само одређени привредни субјект може да испоручи добра, пружи услуге или изведе радове - непостојање конкуренције из техничких разлога </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Образложење правног основа за покретање поступка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 xml:space="preserve">Наручилац има потребу за набавком реагенаса и контрола за апарат „Пхоениx НЦЦ - 61“ и  ПОЦ апарат„НW 37, који представљају једне од најсавременијих биохемијских анализатора на нашем тржишту. Апарати набављени од произвођача и  јединог овлашћеног дистрибутера НеоМедица д.о.о, Бул св.цара Константина 82-86, 18000 Ниш, ПИБ 101531456, мат.бр. 17290100, су апарати на којима се могу користити искључиво оригинални реагенси, односно реагенси које дистрибуира понуђач - произвођач НеоМедица д.о.о., Ниш, на територији Републике Србије. У питању су апарати затвореног система чији је једини овлашћени дистрибутер поменути понуђач. Тестирање путем ових апарата даје валидне резултате уколико су реагенси за дати апарат валидирани од стране произвођача НеоМедица д.о.о, што је у овом случају потврдио произвођач НеоМедица д.о.о, својом изјавом. </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Број огласа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2022/С Ф26-0001603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Врста огласа</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Обавештење о спровођењу преговарачког поступка без објављивања јавног позива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Објављено</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14.12.2022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Рок за подношење</w:t>
                  </w:r>
                </w:p>
              </w:tc>
              <w:tc>
                <w:tcPr>
                  <w:tcW w:w="11645"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0"/>
                    </w:rPr>
                    <w:t>20.12.2022 12:00:00</w:t>
                  </w:r>
                </w:p>
              </w:tc>
            </w:tr>
          </w:tbl>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c>
          <w:tcPr>
            <w:tcW w:w="15410" w:type="dxa"/>
            <w:gridSpan w:val="4"/>
            <w:shd w:val="clear" w:color="auto" w:fill="auto"/>
          </w:tcPr>
          <w:tbl>
            <w:tblPr>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4"/>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Calibri" w:eastAsia="Calibri" w:hAnsi="Calibri"/>
                      <w:b w:val="0"/>
                      <w:i w:val="0"/>
                      <w:color w:val="000000"/>
                      <w:sz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Мирко Стевановић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Милица Вујанац</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Вања Лазовић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Саша Перовић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Марина Перовић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Calibri" w:eastAsia="Calibri" w:hAnsi="Calibri"/>
                      <w:b w:val="0"/>
                      <w:i w:val="0"/>
                      <w:color w:val="000000"/>
                      <w:sz w:val="20"/>
                    </w:rPr>
                    <w:t>Саша Радисављевић</w:t>
                  </w:r>
                </w:p>
              </w:tc>
            </w:tr>
          </w:tbl>
          <w:p/>
        </w:tc>
        <w:tc>
          <w:tcPr>
            <w:tcW w:w="179" w:type="dxa"/>
            <w:shd w:val="clear" w:color="auto" w:fill="auto"/>
          </w:tcPr>
          <w:p>
            <w:pPr>
              <w:pStyle w:val="EmptyLayoutCell"/>
            </w:pPr>
          </w:p>
        </w:tc>
      </w:tr>
      <w:tr>
        <w:tblPrEx>
          <w:tblCellMar>
            <w:left w:w="0" w:type="dxa"/>
            <w:right w:w="0" w:type="dxa"/>
          </w:tblCellMar>
          <w:tblLook w:val="0000"/>
        </w:tblPrEx>
        <w:trPr>
          <w:trHeight w:val="510"/>
        </w:trPr>
        <w:tc>
          <w:tcPr>
            <w:tcW w:w="15410" w:type="dxa"/>
            <w:gridSpan w:val="4"/>
            <w:shd w:val="clear" w:color="auto" w:fill="auto"/>
          </w:tcPr>
          <w:tbl>
            <w:tblPr>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32"/>
              </w:trPr>
              <w:tc>
                <w:tcPr>
                  <w:tcW w:w="15411" w:type="dxa"/>
                  <w:shd w:val="clear" w:color="auto" w:fill="808080"/>
                  <w:tcMar>
                    <w:top w:w="39" w:type="dxa"/>
                    <w:left w:w="39" w:type="dxa"/>
                    <w:bottom w:w="39" w:type="dxa"/>
                    <w:right w:w="39" w:type="dxa"/>
                  </w:tcMar>
                </w:tcPr>
                <w:p>
                  <w:pPr>
                    <w:bidi w:val="0"/>
                    <w:jc w:val="center"/>
                  </w:pPr>
                  <w:r>
                    <w:rPr>
                      <w:rFonts w:ascii="Calibri" w:eastAsia="Calibri" w:hAnsi="Calibri"/>
                      <w:b w:val="0"/>
                      <w:i w:val="0"/>
                      <w:color w:val="FFFFFF"/>
                      <w:sz w:val="28"/>
                    </w:rPr>
                    <w:t>Фаза поступка: Почетне понуде</w:t>
                  </w:r>
                </w:p>
              </w:tc>
            </w:tr>
          </w:tbl>
          <w:p/>
        </w:tc>
        <w:tc>
          <w:tcPr>
            <w:tcW w:w="179" w:type="dxa"/>
            <w:shd w:val="clear" w:color="auto" w:fill="auto"/>
          </w:tcPr>
          <w:p>
            <w:pPr>
              <w:pStyle w:val="EmptyLayoutCell"/>
            </w:pPr>
          </w:p>
        </w:tc>
      </w:tr>
      <w:tr>
        <w:tblPrEx>
          <w:tblCellMar>
            <w:left w:w="0" w:type="dxa"/>
            <w:right w:w="0" w:type="dxa"/>
          </w:tblCellMar>
          <w:tblLook w:val="0000"/>
        </w:tblPrEx>
        <w:tc>
          <w:tcPr>
            <w:tcW w:w="15397" w:type="dxa"/>
            <w:gridSpan w:val="3"/>
            <w:shd w:val="clear" w:color="auto" w:fill="auto"/>
          </w:tcPr>
          <w:tbl>
            <w:tblPr>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bidi w:val="0"/>
                    <w:jc w:val="left"/>
                  </w:pPr>
                  <w:r>
                    <w:rPr>
                      <w:rFonts w:ascii="Calibri" w:eastAsia="Calibri" w:hAnsi="Calibri"/>
                      <w:b/>
                      <w:i w:val="0"/>
                      <w:color w:val="000000"/>
                      <w:sz w:val="24"/>
                    </w:rPr>
                    <w:t>Подаци о предмету / партијама</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97"/>
                  </w:tblGrid>
                  <w:tr>
                    <w:tblPrEx>
                      <w:tblCellMar>
                        <w:left w:w="0" w:type="dxa"/>
                        <w:right w:w="0" w:type="dxa"/>
                      </w:tblCellMar>
                      <w:tblLook w:val="0000"/>
                    </w:tblPrEx>
                    <w:trPr>
                      <w:trHeight w:val="1020"/>
                    </w:trPr>
                    <w:tc>
                      <w:tcPr>
                        <w:tcW w:w="15397" w:type="dxa"/>
                        <w:shd w:val="clear" w:color="auto" w:fill="auto"/>
                      </w:tcPr>
                      <w:tbl>
                        <w:tblPr>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1539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color w:val="000000"/>
                                  <w:sz w:val="20"/>
                                </w:rPr>
                                <w:t>Ово је коначна фаза подношења понуда у поступку</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Набавка реагенаса и контрола за за апарат „Пхоениx НЦЦ - 61“ и  ПОЦ апарат„НW 37“</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Цене</w:t>
                              </w:r>
                            </w:p>
                          </w:tc>
                        </w:tr>
                      </w:tbl>
                      <w:p/>
                    </w:tc>
                  </w:tr>
                </w:tbl>
                <w:p/>
              </w:tc>
            </w:tr>
          </w:tbl>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rPr>
          <w:trHeight w:val="56"/>
        </w:trPr>
        <w:tc>
          <w:tcPr>
            <w:tcW w:w="11" w:type="dxa"/>
            <w:shd w:val="clear" w:color="auto" w:fill="auto"/>
          </w:tcPr>
          <w:p>
            <w:pPr>
              <w:pStyle w:val="EmptyLayoutCell"/>
            </w:pPr>
          </w:p>
        </w:tc>
        <w:tc>
          <w:tcPr>
            <w:tcW w:w="4422" w:type="dxa"/>
            <w:shd w:val="clear" w:color="auto" w:fill="auto"/>
          </w:tcPr>
          <w:p>
            <w:pPr>
              <w:pStyle w:val="EmptyLayoutCell"/>
            </w:pPr>
          </w:p>
        </w:tc>
        <w:tc>
          <w:tcPr>
            <w:tcW w:w="10964"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c>
          <w:tcPr>
            <w:tcW w:w="11" w:type="dxa"/>
            <w:shd w:val="clear" w:color="auto" w:fill="auto"/>
          </w:tcPr>
          <w:p>
            <w:pPr>
              <w:pStyle w:val="EmptyLayoutCell"/>
            </w:pPr>
          </w:p>
        </w:tc>
        <w:tc>
          <w:tcPr>
            <w:tcW w:w="15386" w:type="dxa"/>
            <w:gridSpan w:val="2"/>
            <w:shd w:val="clear" w:color="auto" w:fill="auto"/>
          </w:tcPr>
          <w:tbl>
            <w:tblPr>
              <w:tblInd w:w="39" w:type="dxa"/>
              <w:tblCellMar>
                <w:left w:w="0" w:type="dxa"/>
                <w:right w:w="0" w:type="dxa"/>
              </w:tblCellMar>
              <w:tblLook w:val="0000"/>
            </w:tblPr>
            <w:tblGrid>
              <w:gridCol w:w="3741"/>
              <w:gridCol w:w="11644"/>
            </w:tblGrid>
            <w:tr>
              <w:tblPrEx>
                <w:tblInd w:w="39" w:type="dxa"/>
                <w:tblCellMar>
                  <w:left w:w="0" w:type="dxa"/>
                  <w:right w:w="0" w:type="dxa"/>
                </w:tblCellMar>
                <w:tblLook w:val="0000"/>
              </w:tblPrEx>
              <w:trPr>
                <w:trHeight w:val="375"/>
              </w:trPr>
              <w:tc>
                <w:tcPr>
                  <w:tcW w:w="15385" w:type="dxa"/>
                  <w:gridSpan w:val="2"/>
                  <w:shd w:val="clear" w:color="auto" w:fill="auto"/>
                  <w:tcMar>
                    <w:top w:w="39" w:type="dxa"/>
                    <w:left w:w="39" w:type="dxa"/>
                    <w:bottom w:w="39" w:type="dxa"/>
                    <w:right w:w="39" w:type="dxa"/>
                  </w:tcMar>
                </w:tcPr>
                <w:p>
                  <w:pPr>
                    <w:bidi w:val="0"/>
                    <w:jc w:val="left"/>
                  </w:pPr>
                  <w:r>
                    <w:rPr>
                      <w:rFonts w:ascii="Arial" w:eastAsia="Arial" w:hAnsi="Arial"/>
                      <w:b/>
                      <w:i w:val="0"/>
                      <w:color w:val="000000"/>
                      <w:sz w:val="24"/>
                    </w:rPr>
                    <w:t>Позиви</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Датум и време упућивања позива:</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16.12.2022 20:18:41</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Рок за подношење:</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20.12.2022 12:00:00</w:t>
                  </w:r>
                </w:p>
              </w:tc>
            </w:tr>
          </w:tbl>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c>
          <w:tcPr>
            <w:tcW w:w="11" w:type="dxa"/>
            <w:shd w:val="clear" w:color="auto" w:fill="auto"/>
          </w:tcPr>
          <w:p>
            <w:pPr>
              <w:pStyle w:val="EmptyLayoutCell"/>
            </w:pPr>
          </w:p>
        </w:tc>
        <w:tc>
          <w:tcPr>
            <w:tcW w:w="4422" w:type="dxa"/>
            <w:shd w:val="clear" w:color="auto" w:fill="auto"/>
          </w:tcPr>
          <w:tbl>
            <w:tblPr>
              <w:tblInd w:w="39" w:type="dxa"/>
              <w:tblCellMar>
                <w:left w:w="0" w:type="dxa"/>
                <w:right w:w="0" w:type="dxa"/>
              </w:tblCellMar>
              <w:tblLook w:val="0000"/>
            </w:tblPr>
            <w:tblGrid>
              <w:gridCol w:w="3741"/>
              <w:gridCol w:w="680"/>
            </w:tblGrid>
            <w:tr>
              <w:tblPrEx>
                <w:tblInd w:w="39" w:type="dxa"/>
                <w:tblCellMar>
                  <w:left w:w="0" w:type="dxa"/>
                  <w:right w:w="0" w:type="dxa"/>
                </w:tblCellMar>
                <w:tblLook w:val="0000"/>
              </w:tblPrEx>
              <w:trPr>
                <w:trHeight w:val="1509"/>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Позвани привредни субјекти:</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bidi w:val="0"/>
                    <w:jc w:val="left"/>
                  </w:pPr>
                  <w:r>
                    <w:rPr>
                      <w:rFonts w:ascii="Arial" w:eastAsia="Arial" w:hAnsi="Arial"/>
                      <w:b/>
                      <w:i w:val="0"/>
                      <w:color w:val="000000"/>
                      <w:sz w:val="20"/>
                    </w:rPr>
                    <w:t>101531456</w:t>
                    <w:br/>
                    <w:t>НЕОМЕДИЦА ДОО НИШ</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Набавка реагенаса и контрола за за апарат „Пхоениx НЦЦ - 61“ и  ПОЦ апарат„НW 37“</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X</w:t>
                  </w:r>
                </w:p>
              </w:tc>
            </w:tr>
          </w:tbl>
          <w:p/>
        </w:tc>
        <w:tc>
          <w:tcPr>
            <w:tcW w:w="10964"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bl>
    <w:p>
      <w:r>
        <w:br w:type="page"/>
      </w:r>
    </w:p>
    <w:p>
      <w:pPr>
        <w:pStyle w:val="EmptyLayoutCell"/>
      </w:pPr>
    </w:p>
    <w:tbl>
      <w:tblPr>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4"/>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Датум и време отварања: 20.12.2022 12:00:00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Електронско отварање понуда завршено у: 20.12.2022 12:02:44</w:t>
                  </w:r>
                </w:p>
              </w:tc>
            </w:tr>
            <w:tr>
              <w:tblPrEx>
                <w:tblInd w:w="39" w:type="dxa"/>
                <w:tblCellMar>
                  <w:left w:w="0" w:type="dxa"/>
                  <w:right w:w="0" w:type="dxa"/>
                </w:tblCellMar>
                <w:tblLook w:val="0000"/>
              </w:tblPrEx>
              <w:trPr>
                <w:trHeight w:val="1064"/>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val="0"/>
                                  <w:i w:val="0"/>
                                  <w:color w:val="000000"/>
                                  <w:sz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20"/>
                                </w:rPr>
                                <w:t>1</w:t>
                              </w:r>
                            </w:p>
                          </w:tc>
                        </w:tr>
                      </w:tbl>
                      <w:p/>
                    </w:tc>
                    <w:tc>
                      <w:tcPr>
                        <w:tcW w:w="23" w:type="dxa"/>
                        <w:shd w:val="clear" w:color="auto" w:fill="auto"/>
                      </w:tcPr>
                      <w:p>
                        <w:pPr>
                          <w:pStyle w:val="EmptyLayoutCell"/>
                        </w:pPr>
                      </w:p>
                    </w:tc>
                  </w:tr>
                  <w:tr>
                    <w:tblPrEx>
                      <w:tblCellMar>
                        <w:left w:w="0" w:type="dxa"/>
                        <w:right w:w="0" w:type="dxa"/>
                      </w:tblCellMar>
                      <w:tblLook w:val="0000"/>
                    </w:tblPrEx>
                    <w:tc>
                      <w:tcPr>
                        <w:tcW w:w="15373" w:type="dxa"/>
                        <w:shd w:val="clear" w:color="auto" w:fill="auto"/>
                      </w:tcPr>
                      <w:tbl>
                        <w:tblPr>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НЕОМЕДИЦА ДОО НИШ, БУЛЕВАР СВЕТОГ ЦАРА КОНСТАНТИНА, 82-86, 18000, Ниш,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215/22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20.12.2022. 09:13:57</w:t>
                              </w:r>
                            </w:p>
                          </w:tc>
                        </w:tr>
                      </w:tbl>
                      <w:p/>
                    </w:tc>
                    <w:tc>
                      <w:tcPr>
                        <w:tcW w:w="23" w:type="dxa"/>
                        <w:shd w:val="clear" w:color="auto" w:fill="auto"/>
                      </w:tcPr>
                      <w:p>
                        <w:pPr>
                          <w:pStyle w:val="EmptyLayoutCell"/>
                        </w:pPr>
                      </w:p>
                    </w:tc>
                  </w:tr>
                </w:tbl>
                <w:p/>
              </w:tc>
            </w:tr>
          </w:tbl>
          <w:p/>
        </w:tc>
        <w:tc>
          <w:tcPr>
            <w:tcW w:w="192" w:type="dxa"/>
            <w:shd w:val="clear" w:color="auto" w:fill="auto"/>
          </w:tcPr>
          <w:p>
            <w:pPr>
              <w:pStyle w:val="EmptyLayoutCell"/>
            </w:pPr>
          </w:p>
        </w:tc>
      </w:tr>
      <w:tr>
        <w:tblPrEx>
          <w:tblCellMar>
            <w:left w:w="0" w:type="dxa"/>
            <w:right w:w="0" w:type="dxa"/>
          </w:tblCellMar>
          <w:tblLook w:val="0000"/>
        </w:tblPrEx>
        <w:trPr>
          <w:trHeight w:val="62"/>
        </w:trPr>
        <w:tc>
          <w:tcPr>
            <w:tcW w:w="15397" w:type="dxa"/>
            <w:shd w:val="clear" w:color="auto" w:fill="auto"/>
          </w:tcPr>
          <w:p>
            <w:pPr>
              <w:pStyle w:val="EmptyLayoutCell"/>
            </w:pPr>
          </w:p>
        </w:tc>
        <w:tc>
          <w:tcPr>
            <w:tcW w:w="192" w:type="dxa"/>
            <w:shd w:val="clear" w:color="auto" w:fill="auto"/>
          </w:tcPr>
          <w:p>
            <w:pPr>
              <w:pStyle w:val="EmptyLayoutCell"/>
            </w:pPr>
          </w:p>
        </w:tc>
      </w:tr>
    </w:tbl>
    <w:p>
      <w:r>
        <w:br w:type="page"/>
      </w:r>
    </w:p>
    <w:p>
      <w:pPr>
        <w:pStyle w:val="EmptyLayoutCell"/>
      </w:pPr>
    </w:p>
    <w:tbl>
      <w:tblPr>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4"/>
                    </w:rPr>
                    <w:t>Аналитички приказ поднетих понуда</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НЕОМЕДИЦА ДОО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2409873.50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2891848.20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45 дана одложено вирманом</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65</w:t>
                              </w:r>
                            </w:p>
                          </w:tc>
                        </w:tr>
                      </w:tbl>
                      <w:p/>
                    </w:tc>
                    <w:tc>
                      <w:tcPr>
                        <w:tcW w:w="7081" w:type="dxa"/>
                        <w:shd w:val="clear" w:color="auto" w:fill="auto"/>
                      </w:tcPr>
                      <w:p>
                        <w:pPr>
                          <w:pStyle w:val="EmptyLayoutCell"/>
                        </w:pPr>
                      </w:p>
                    </w:tc>
                  </w:tr>
                </w:tbl>
                <w:p/>
              </w:tc>
            </w:tr>
          </w:tbl>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rPr>
          <w:trHeight w:val="50"/>
        </w:trPr>
        <w:tc>
          <w:tcPr>
            <w:tcW w:w="15392"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c>
          <w:tcPr>
            <w:tcW w:w="15392" w:type="dxa"/>
            <w:shd w:val="clear" w:color="auto" w:fill="auto"/>
          </w:tcPr>
          <w:tbl>
            <w:tblPr>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4"/>
                    </w:rPr>
                    <w:t>Аналитички приказ понуда након допуштених исправки</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bidi w:val="0"/>
                                <w:jc w:val="left"/>
                              </w:pPr>
                              <w:r>
                                <w:rPr>
                                  <w:rFonts w:ascii="Arial" w:eastAsia="Arial" w:hAnsi="Arial"/>
                                  <w:b/>
                                  <w:i w:val="0"/>
                                  <w:color w:val="000000"/>
                                  <w:sz w:val="18"/>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i w:val="0"/>
                                  <w:color w:val="000000"/>
                                  <w:sz w:val="18"/>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18"/>
                                </w:rPr>
                                <w:t>НЕОМЕДИЦА ДОО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2409873.50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2891848.20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18"/>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45 дана одложено вирманом</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18"/>
                                </w:rPr>
                                <w:t>65</w:t>
                              </w:r>
                            </w:p>
                          </w:tc>
                        </w:tr>
                      </w:tbl>
                      <w:p/>
                    </w:tc>
                    <w:tc>
                      <w:tcPr>
                        <w:tcW w:w="7087" w:type="dxa"/>
                        <w:shd w:val="clear" w:color="auto" w:fill="auto"/>
                      </w:tcPr>
                      <w:p>
                        <w:pPr>
                          <w:pStyle w:val="EmptyLayoutCell"/>
                        </w:pPr>
                      </w:p>
                    </w:tc>
                  </w:tr>
                </w:tbl>
                <w:p/>
              </w:tc>
            </w:tr>
          </w:tbl>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rPr>
          <w:trHeight w:val="48"/>
        </w:trPr>
        <w:tc>
          <w:tcPr>
            <w:tcW w:w="15392"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c>
          <w:tcPr>
            <w:tcW w:w="15405" w:type="dxa"/>
            <w:gridSpan w:val="2"/>
            <w:shd w:val="clear" w:color="auto" w:fill="auto"/>
          </w:tcPr>
          <w:tbl>
            <w:tblPr>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4"/>
                    </w:rPr>
                    <w:t>Стручна оцена</w:t>
                  </w:r>
                </w:p>
              </w:tc>
            </w:tr>
            <w:tr>
              <w:tblPrEx>
                <w:tblInd w:w="39" w:type="dxa"/>
                <w:tblCellMar>
                  <w:left w:w="0" w:type="dxa"/>
                  <w:right w:w="0" w:type="dxa"/>
                </w:tblCellMar>
                <w:tblLook w:val="0000"/>
              </w:tblPrEx>
              <w:trPr>
                <w:trHeight w:val="680"/>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right"/>
                              </w:pPr>
                              <w:r>
                                <w:rPr>
                                  <w:rFonts w:ascii="Arial" w:eastAsia="Arial" w:hAnsi="Arial"/>
                                  <w:b w:val="0"/>
                                  <w:i w:val="0"/>
                                  <w:color w:val="000000"/>
                                  <w:sz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НЕОМЕДИЦА ДОО НИШ</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center"/>
                              </w:pPr>
                              <w:r>
                                <w:rPr>
                                  <w:rFonts w:ascii="Arial" w:eastAsia="Arial" w:hAnsi="Arial"/>
                                  <w:b w:val="0"/>
                                  <w:i w:val="0"/>
                                  <w:color w:val="000000"/>
                                  <w:sz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2.409.873,50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right"/>
                              </w:pPr>
                              <w:r>
                                <w:rPr>
                                  <w:rFonts w:ascii="Arial" w:eastAsia="Arial" w:hAnsi="Arial"/>
                                  <w:b w:val="0"/>
                                  <w:i w:val="0"/>
                                  <w:color w:val="000000"/>
                                  <w:sz w:val="20"/>
                                </w:rPr>
                                <w:t>2.891.848,20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РСД</w:t>
                              </w:r>
                            </w:p>
                          </w:tc>
                        </w:tr>
                      </w:tbl>
                      <w:p/>
                    </w:tc>
                  </w:tr>
                </w:tbl>
                <w:p/>
              </w:tc>
            </w:tr>
          </w:tbl>
          <w:p/>
        </w:tc>
        <w:tc>
          <w:tcPr>
            <w:tcW w:w="179" w:type="dxa"/>
            <w:shd w:val="clear" w:color="auto" w:fill="auto"/>
          </w:tcPr>
          <w:p>
            <w:pPr>
              <w:pStyle w:val="EmptyLayoutCell"/>
            </w:pPr>
          </w:p>
        </w:tc>
      </w:tr>
      <w:tr>
        <w:tblPrEx>
          <w:tblCellMar>
            <w:left w:w="0" w:type="dxa"/>
            <w:right w:w="0" w:type="dxa"/>
          </w:tblCellMar>
          <w:tblLook w:val="0000"/>
        </w:tblPrEx>
        <w:trPr>
          <w:trHeight w:val="14"/>
        </w:trPr>
        <w:tc>
          <w:tcPr>
            <w:tcW w:w="15392"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r>
        <w:tblPrEx>
          <w:tblCellMar>
            <w:left w:w="0" w:type="dxa"/>
            <w:right w:w="0" w:type="dxa"/>
          </w:tblCellMar>
          <w:tblLook w:val="0000"/>
        </w:tblPrEx>
        <w:tc>
          <w:tcPr>
            <w:tcW w:w="15405" w:type="dxa"/>
            <w:gridSpan w:val="2"/>
            <w:shd w:val="clear" w:color="auto" w:fill="auto"/>
          </w:tcPr>
          <w:tbl>
            <w:tblPr>
              <w:tblCellMar>
                <w:left w:w="0" w:type="dxa"/>
                <w:right w:w="0" w:type="dxa"/>
              </w:tblCellMar>
              <w:tblLook w:val="0000"/>
            </w:tblPr>
            <w:tblGrid>
              <w:gridCol w:w="15411"/>
            </w:tblGrid>
            <w:tr>
              <w:tblPrEx>
                <w:tblCellMar>
                  <w:left w:w="0" w:type="dxa"/>
                  <w:right w:w="0" w:type="dxa"/>
                </w:tblCellMar>
                <w:tblLook w:val="0000"/>
              </w:tblPrEx>
              <w:trPr>
                <w:trHeight w:val="3115"/>
              </w:trPr>
              <w:tc>
                <w:tcPr>
                  <w:tcW w:w="15411" w:type="dxa"/>
                  <w:shd w:val="clear" w:color="auto" w:fill="auto"/>
                  <w:tcMar>
                    <w:top w:w="0" w:type="dxa"/>
                    <w:left w:w="0" w:type="dxa"/>
                    <w:bottom w:w="0" w:type="dxa"/>
                    <w:right w:w="0" w:type="dxa"/>
                  </w:tcMar>
                </w:tcPr>
                <w:tbl>
                  <w:tblPr>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tc>
                        </w:tr>
                      </w:tbl>
                      <w:p/>
                    </w:tc>
                    <w:tc>
                      <w:tcPr>
                        <w:tcW w:w="13" w:type="dxa"/>
                        <w:shd w:val="clear" w:color="auto" w:fill="auto"/>
                      </w:tcPr>
                      <w:p>
                        <w:pPr>
                          <w:pStyle w:val="EmptyLayoutCell"/>
                        </w:pPr>
                      </w:p>
                    </w:tc>
                  </w:tr>
                  <w:tr>
                    <w:tblPrEx>
                      <w:tblCellMar>
                        <w:left w:w="0" w:type="dxa"/>
                        <w:right w:w="0" w:type="dxa"/>
                      </w:tblCellMar>
                      <w:tblLook w:val="0000"/>
                    </w:tblPrEx>
                    <w:trPr>
                      <w:trHeight w:val="298"/>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c>
                      <w:tcPr>
                        <w:tcW w:w="15372" w:type="dxa"/>
                        <w:gridSpan w:val="2"/>
                        <w:shd w:val="clear" w:color="auto" w:fill="auto"/>
                      </w:tcPr>
                      <w:tbl>
                        <w:tblPr>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left"/>
                              </w:pPr>
                              <w:r>
                                <w:rPr>
                                  <w:rFonts w:ascii="Arial" w:eastAsia="Arial" w:hAnsi="Arial"/>
                                  <w:b w:val="0"/>
                                  <w:i w:val="0"/>
                                  <w:color w:val="000000"/>
                                  <w:sz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bidi w:val="0"/>
                                <w:jc w:val="center"/>
                              </w:pPr>
                              <w:r>
                                <w:rPr>
                                  <w:rFonts w:ascii="Arial" w:eastAsia="Arial" w:hAnsi="Arial"/>
                                  <w:b w:val="0"/>
                                  <w:i w:val="0"/>
                                  <w:color w:val="000000"/>
                                  <w:sz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i w:val="0"/>
                                  <w:color w:val="000000"/>
                                  <w:sz w:val="20"/>
                                </w:rPr>
                                <w:t>НЕОМЕДИЦА ДОО НИШ</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left"/>
                              </w:pPr>
                              <w:r>
                                <w:rPr>
                                  <w:rFonts w:ascii="Arial" w:eastAsia="Arial" w:hAnsi="Arial"/>
                                  <w:b w:val="0"/>
                                  <w:i w:val="0"/>
                                  <w:color w:val="000000"/>
                                  <w:sz w:val="20"/>
                                </w:rPr>
                                <w:t>Цена понуде: 2.409.873,50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bidi w:val="0"/>
                                <w:jc w:val="center"/>
                              </w:pPr>
                              <w:r>
                                <w:rPr>
                                  <w:rFonts w:ascii="Arial" w:eastAsia="Arial" w:hAnsi="Arial"/>
                                  <w:b w:val="0"/>
                                  <w:i w:val="0"/>
                                  <w:color w:val="000000"/>
                                  <w:sz w:val="20"/>
                                </w:rPr>
                                <w:t>ДА</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27"/>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340"/>
                    </w:trPr>
                    <w:tc>
                      <w:tcPr>
                        <w:tcW w:w="3741" w:type="dxa"/>
                        <w:shd w:val="clear" w:color="auto" w:fill="auto"/>
                      </w:tcPr>
                      <w:tbl>
                        <w:tblPr>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Образложење избора</w:t>
                              </w:r>
                            </w:p>
                          </w:tc>
                        </w:tr>
                      </w:tbl>
                      <w:p/>
                    </w:tc>
                    <w:tc>
                      <w:tcPr>
                        <w:tcW w:w="11631" w:type="dxa"/>
                        <w:shd w:val="clear" w:color="auto" w:fill="auto"/>
                      </w:tcPr>
                      <w:tbl>
                        <w:tblPr>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bidi w:val="0"/>
                                <w:jc w:val="left"/>
                              </w:pPr>
                              <w:r>
                                <w:rPr>
                                  <w:rFonts w:ascii="Arial" w:eastAsia="Arial" w:hAnsi="Arial"/>
                                  <w:b/>
                                  <w:i w:val="0"/>
                                  <w:color w:val="000000"/>
                                  <w:sz w:val="20"/>
                                </w:rPr>
                                <w:t>Понуђач је доставио благовремеу, исправну и прихватљиву понуду, која је прихваћена у преговарачком поступку од стране Комисије за ЈН 9.</w:t>
                              </w:r>
                            </w:p>
                          </w:tc>
                        </w:tr>
                      </w:tbl>
                      <w:p/>
                    </w:tc>
                    <w:tc>
                      <w:tcPr>
                        <w:tcW w:w="13" w:type="dxa"/>
                        <w:shd w:val="clear" w:color="auto" w:fill="auto"/>
                      </w:tcPr>
                      <w:p>
                        <w:pPr>
                          <w:pStyle w:val="EmptyLayoutCell"/>
                        </w:pPr>
                      </w:p>
                    </w:tc>
                    <w:tc>
                      <w:tcPr>
                        <w:tcW w:w="13" w:type="dxa"/>
                        <w:shd w:val="clear" w:color="auto" w:fill="auto"/>
                      </w:tcPr>
                      <w:p>
                        <w:pPr>
                          <w:pStyle w:val="EmptyLayoutCell"/>
                        </w:pPr>
                      </w:p>
                    </w:tc>
                  </w:tr>
                  <w:tr>
                    <w:tblPrEx>
                      <w:tblCellMar>
                        <w:left w:w="0" w:type="dxa"/>
                        <w:right w:w="0" w:type="dxa"/>
                      </w:tblCellMar>
                      <w:tblLook w:val="0000"/>
                    </w:tblPrEx>
                    <w:trPr>
                      <w:trHeight w:val="16"/>
                    </w:trPr>
                    <w:tc>
                      <w:tcPr>
                        <w:tcW w:w="3741" w:type="dxa"/>
                        <w:shd w:val="clear" w:color="auto" w:fill="auto"/>
                      </w:tcPr>
                      <w:p>
                        <w:pPr>
                          <w:pStyle w:val="EmptyLayoutCell"/>
                        </w:pPr>
                      </w:p>
                    </w:tc>
                    <w:tc>
                      <w:tcPr>
                        <w:tcW w:w="11631" w:type="dxa"/>
                        <w:shd w:val="clear" w:color="auto" w:fill="auto"/>
                      </w:tcPr>
                      <w:p>
                        <w:pPr>
                          <w:pStyle w:val="EmptyLayoutCell"/>
                        </w:pPr>
                      </w:p>
                    </w:tc>
                    <w:tc>
                      <w:tcPr>
                        <w:tcW w:w="13" w:type="dxa"/>
                        <w:shd w:val="clear" w:color="auto" w:fill="auto"/>
                      </w:tcPr>
                      <w:p>
                        <w:pPr>
                          <w:pStyle w:val="EmptyLayoutCell"/>
                        </w:pPr>
                      </w:p>
                    </w:tc>
                    <w:tc>
                      <w:tcPr>
                        <w:tcW w:w="13" w:type="dxa"/>
                        <w:shd w:val="clear" w:color="auto" w:fill="auto"/>
                      </w:tcPr>
                      <w:p>
                        <w:pPr>
                          <w:pStyle w:val="EmptyLayoutCell"/>
                        </w:pPr>
                      </w:p>
                    </w:tc>
                  </w:tr>
                </w:tbl>
                <w:p/>
              </w:tc>
            </w:tr>
          </w:tbl>
          <w:p/>
        </w:tc>
        <w:tc>
          <w:tcPr>
            <w:tcW w:w="179" w:type="dxa"/>
            <w:shd w:val="clear" w:color="auto" w:fill="auto"/>
          </w:tcPr>
          <w:p>
            <w:pPr>
              <w:pStyle w:val="EmptyLayoutCell"/>
            </w:pPr>
          </w:p>
        </w:tc>
      </w:tr>
      <w:tr>
        <w:tblPrEx>
          <w:tblCellMar>
            <w:left w:w="0" w:type="dxa"/>
            <w:right w:w="0" w:type="dxa"/>
          </w:tblCellMar>
          <w:tblLook w:val="0000"/>
        </w:tblPrEx>
        <w:trPr>
          <w:trHeight w:val="514"/>
        </w:trPr>
        <w:tc>
          <w:tcPr>
            <w:tcW w:w="15392" w:type="dxa"/>
            <w:shd w:val="clear" w:color="auto" w:fill="auto"/>
          </w:tcPr>
          <w:p>
            <w:pPr>
              <w:pStyle w:val="EmptyLayoutCell"/>
            </w:pPr>
          </w:p>
        </w:tc>
        <w:tc>
          <w:tcPr>
            <w:tcW w:w="13" w:type="dxa"/>
            <w:shd w:val="clear" w:color="auto" w:fill="auto"/>
          </w:tcPr>
          <w:p>
            <w:pPr>
              <w:pStyle w:val="EmptyLayoutCell"/>
            </w:pPr>
          </w:p>
        </w:tc>
        <w:tc>
          <w:tcPr>
            <w:tcW w:w="179" w:type="dxa"/>
            <w:shd w:val="clear" w:color="auto" w:fill="auto"/>
          </w:tcPr>
          <w:p>
            <w:pPr>
              <w:pStyle w:val="EmptyLayoutCell"/>
            </w:pPr>
          </w:p>
        </w:tc>
      </w:tr>
    </w:tbl>
    <w:p>
      <w:r>
        <w:br w:type="page"/>
      </w:r>
    </w:p>
    <w:p>
      <w:pPr>
        <w:pStyle w:val="EmptyLayoutCell"/>
      </w:pPr>
    </w:p>
    <w:tbl>
      <w:tblPr>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67"/>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i w:val="0"/>
                      <w:color w:val="000000"/>
                      <w:sz w:val="24"/>
                    </w:rPr>
                    <w:t>Кратак опис тока преговора</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bidi w:val="0"/>
                    <w:jc w:val="left"/>
                  </w:pPr>
                  <w:r>
                    <w:rPr>
                      <w:rFonts w:ascii="Arial" w:eastAsia="Arial" w:hAnsi="Arial"/>
                      <w:b w:val="0"/>
                      <w:i w:val="0"/>
                      <w:color w:val="000000"/>
                      <w:sz w:val="20"/>
                    </w:rPr>
                    <w:t>Обзиром да се преговаеање вршило у једном кораку, наручилац је прихватио електронску понуду понуђача  "Неомедица"доо Ниш број 215/22 од 20.12.2022.године у износу од 2.409.873,50 динара без ПДВ-а, односно 2.891.848,20 динара са ПДВ-ом.</w:t>
                  </w:r>
                </w:p>
              </w:tc>
            </w:tr>
          </w:tbl>
          <w:p/>
        </w:tc>
        <w:tc>
          <w:tcPr>
            <w:tcW w:w="192" w:type="dxa"/>
            <w:shd w:val="clear" w:color="auto" w:fill="auto"/>
          </w:tcPr>
          <w:p>
            <w:pPr>
              <w:pStyle w:val="EmptyLayoutCell"/>
            </w:pPr>
          </w:p>
        </w:tc>
      </w:tr>
    </w:tbl>
    <w:p/>
    <w:sectPr>
      <w:pgSz w:w="16837" w:h="11905" w:orient="landscape"/>
      <w:pgMar w:top="566" w:right="566" w:bottom="566" w:left="680" w:header="0" w:foo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 w:name="Calibri">
    <w:panose1 w:val="020B0604020202020204"/>
    <w:charset w:val="00"/>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0000"/>
  <w:revisionView w:comments="0" w:formatting="0" w:inkAnnotations="1" w:insDel="0" w:markup="0"/>
  <w:defaultTabStop w:val="720"/>
  <w:defaultTableStyle w:val="Normal"/>
  <w:displayHorizontalDrawingGridEvery w:val="0"/>
  <w:displayVerticalDrawingGridEvery w:val="0"/>
  <w:doNotUseMarginsForDrawingGridOrigin/>
  <w:drawingGridHorizontalOrigin w:val="1701"/>
  <w:drawingGridVerticalOrigin w:val="1984"/>
  <w:noPunctuationKerning/>
  <w:characterSpacingControl w:val="doNotCompress"/>
  <w:doNotEmbedSmartTag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w w:val="85"/>
      <w:lang w:val="en-US" w:eastAsia="en-US" w:bidi="ar-SA"/>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EmptyLayoutCell">
    <w:name w:val="EmptyLayoutCell"/>
    <w:basedOn w:val="Normal"/>
    <w:rPr>
      <w:w w:val="85"/>
      <w:sz w:val="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