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tbl>
      <w:tblPr>
        <w:tblCellMar>
          <w:left w:w="0" w:type="dxa"/>
          <w:right w:w="0" w:type="dxa"/>
        </w:tblCellMar>
        <w:tblLook w:val="0000"/>
      </w:tblPr>
      <w:tblGrid>
        <w:gridCol w:w="11"/>
        <w:gridCol w:w="4422"/>
        <w:gridCol w:w="10964"/>
        <w:gridCol w:w="13"/>
        <w:gridCol w:w="179"/>
      </w:tblGrid>
      <w:tr>
        <w:tblPrEx>
          <w:tblCellMar>
            <w:left w:w="0" w:type="dxa"/>
            <w:right w:w="0" w:type="dxa"/>
          </w:tblCellMar>
          <w:tblLook w:val="0000"/>
        </w:tblPrEx>
        <w:trPr>
          <w:trHeight w:val="453"/>
        </w:trPr>
        <w:tc>
          <w:tcPr>
            <w:tcW w:w="15589" w:type="dxa"/>
            <w:gridSpan w:val="5"/>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i w:val="0"/>
                      <w:color w:val="000000"/>
                      <w:sz w:val="28"/>
                    </w:rPr>
                    <w:t>ИЗВЕШТАЈ О ПОСТУПКУ</w:t>
                  </w:r>
                </w:p>
              </w:tc>
            </w:tr>
          </w:tbl>
          <w:p/>
        </w:tc>
      </w:tr>
      <w:tr>
        <w:tblPrEx>
          <w:tblCellMar>
            <w:left w:w="0" w:type="dxa"/>
            <w:right w:w="0" w:type="dxa"/>
          </w:tblCellMar>
          <w:tblLook w:val="0000"/>
        </w:tblPrEx>
        <w:trPr>
          <w:trHeight w:val="453"/>
        </w:trPr>
        <w:tc>
          <w:tcPr>
            <w:tcW w:w="15589" w:type="dxa"/>
            <w:gridSpan w:val="5"/>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val="0"/>
                      <w:i w:val="0"/>
                      <w:color w:val="000000"/>
                      <w:sz w:val="20"/>
                    </w:rPr>
                    <w:t>Датум креирања извештаја: 11.05.2023 08:54:54</w:t>
                  </w:r>
                </w:p>
              </w:tc>
            </w:tr>
          </w:tbl>
          <w:p/>
        </w:tc>
      </w:tr>
      <w:tr>
        <w:tblPrEx>
          <w:tblCellMar>
            <w:left w:w="0" w:type="dxa"/>
            <w:right w:w="0" w:type="dxa"/>
          </w:tblCellMar>
          <w:tblLook w:val="0000"/>
        </w:tblPrEx>
        <w:trPr>
          <w:trHeight w:val="40"/>
        </w:trPr>
        <w:tc>
          <w:tcPr>
            <w:tcW w:w="11" w:type="dxa"/>
            <w:shd w:val="clear" w:color="auto" w:fill="auto"/>
          </w:tcPr>
          <w:p>
            <w:pPr>
              <w:pStyle w:val="EmptyLayoutCell"/>
            </w:pPr>
          </w:p>
        </w:tc>
        <w:tc>
          <w:tcPr>
            <w:tcW w:w="4422" w:type="dxa"/>
            <w:shd w:val="clear" w:color="auto" w:fill="auto"/>
          </w:tcPr>
          <w:p>
            <w:pPr>
              <w:pStyle w:val="EmptyLayoutCell"/>
            </w:pPr>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397" w:type="dxa"/>
            <w:gridSpan w:val="3"/>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Назив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реагенаса и контрола за за апарат „Пхоениx НЦЦ - 61“ и  ПОЦ апарат„НW 37“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Реф. број</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ЈН 9</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Преговарачки поступак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и датум одлуке о спровођењу</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3568/2022, 12.12.2022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Процењена вредност</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2.550.000,00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Техника</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ЦПВ</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33696500-Лабораторијски реагенси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Кратак опис набавке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неопходних реагенаса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Подељен у партије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Правни основ за покретање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 xml:space="preserve">Члан 61. став 1. тач. 1) подтач. (2)-само одређени привредни субјект може да испоручи добра, пружи услуге или изведе радове - непостојање конкуренције из техничких разлога </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Образложење правног основа за покретање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 xml:space="preserve">Наручилац има потребу за набавком реагенаса и контрола за апарат „Пхоениx НЦЦ - 61“ и  ПОЦ апарат„НW 37, који представљају једне од најсавременијих биохемијских анализатора на нашем тржишту. Апарати набављени од произвођача и  јединог овлашћеног дистрибутера НеоМедица д.о.о, Бул св.цара Константина 82-86, 18000 Ниш, ПИБ 101531456, мат.бр. 17290100, су апарати на којима се могу користити искључиво оригинални реагенси, односно реагенси које дистрибуира понуђач - произвођач НеоМедица д.о.о., Ниш, на територији Републике Србије. У питању су апарати затвореног система чији је једини овлашћени дистрибутер поменути понуђач. Тестирање путем ових апарата даје валидне резултате уколико су реагенси за дати апарат валидирани од стране произвођача НеоМедица д.о.о, што је у овом случају потврдио произвођач НеоМедица д.о.о, својом изјавом.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2022/С Ф26-0001603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Обавештење о спровођењу преговарачког поступка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Објављено</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14.12.2022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Рок за подношење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20.12.2022 12:00:00</w:t>
                  </w:r>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10" w:type="dxa"/>
            <w:gridSpan w:val="4"/>
            <w:shd w:val="clear" w:color="auto" w:fill="auto"/>
          </w:tcPr>
          <w:tbl>
            <w:tblPr>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Calibri" w:eastAsia="Calibri" w:hAnsi="Calibri"/>
                      <w:b w:val="0"/>
                      <w:i w:val="0"/>
                      <w:color w:val="000000"/>
                      <w:sz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Милица Вујанац</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Марина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Радисављевић</w:t>
                  </w:r>
                </w:p>
              </w:tc>
            </w:tr>
          </w:tbl>
          <w:p/>
        </w:tc>
        <w:tc>
          <w:tcPr>
            <w:tcW w:w="179" w:type="dxa"/>
            <w:shd w:val="clear" w:color="auto" w:fill="auto"/>
          </w:tcPr>
          <w:p>
            <w:pPr>
              <w:pStyle w:val="EmptyLayoutCell"/>
            </w:pPr>
          </w:p>
        </w:tc>
      </w:tr>
      <w:tr>
        <w:tblPrEx>
          <w:tblCellMar>
            <w:left w:w="0" w:type="dxa"/>
            <w:right w:w="0" w:type="dxa"/>
          </w:tblCellMar>
          <w:tblLook w:val="0000"/>
        </w:tblPrEx>
        <w:trPr>
          <w:trHeight w:val="510"/>
        </w:trPr>
        <w:tc>
          <w:tcPr>
            <w:tcW w:w="15410" w:type="dxa"/>
            <w:gridSpan w:val="4"/>
            <w:shd w:val="clear" w:color="auto" w:fill="auto"/>
          </w:tcPr>
          <w:tbl>
            <w:tblPr>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bidi w:val="0"/>
                    <w:jc w:val="center"/>
                  </w:pPr>
                  <w:r>
                    <w:rPr>
                      <w:rFonts w:ascii="Calibri" w:eastAsia="Calibri" w:hAnsi="Calibri"/>
                      <w:b w:val="0"/>
                      <w:i w:val="0"/>
                      <w:color w:val="FFFFFF"/>
                      <w:sz w:val="28"/>
                    </w:rPr>
                    <w:t>Фаза поступка: Почетне понуде</w:t>
                  </w:r>
                </w:p>
              </w:tc>
            </w:tr>
          </w:tbl>
          <w:p/>
        </w:tc>
        <w:tc>
          <w:tcPr>
            <w:tcW w:w="179" w:type="dxa"/>
            <w:shd w:val="clear" w:color="auto" w:fill="auto"/>
          </w:tcPr>
          <w:p>
            <w:pPr>
              <w:pStyle w:val="EmptyLayoutCell"/>
            </w:pPr>
          </w:p>
        </w:tc>
      </w:tr>
      <w:tr>
        <w:tblPrEx>
          <w:tblCellMar>
            <w:left w:w="0" w:type="dxa"/>
            <w:right w:w="0" w:type="dxa"/>
          </w:tblCellMar>
          <w:tblLook w:val="0000"/>
        </w:tblPrEx>
        <w:tc>
          <w:tcPr>
            <w:tcW w:w="15397" w:type="dxa"/>
            <w:gridSpan w:val="3"/>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предмету / партијама</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102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15397"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color w:val="000000"/>
                                  <w:sz w:val="20"/>
                                </w:rPr>
                                <w:t>Ово је коначна фаза подношења понуда у поступку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Набавка реагенаса и контрола за за апарат „Пхоениx НЦЦ - 61“ и  ПОЦ апарат„НW 37“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56"/>
        </w:trPr>
        <w:tc>
          <w:tcPr>
            <w:tcW w:w="11" w:type="dxa"/>
            <w:shd w:val="clear" w:color="auto" w:fill="auto"/>
          </w:tcPr>
          <w:p>
            <w:pPr>
              <w:pStyle w:val="EmptyLayoutCell"/>
            </w:pPr>
          </w:p>
        </w:tc>
        <w:tc>
          <w:tcPr>
            <w:tcW w:w="4422" w:type="dxa"/>
            <w:shd w:val="clear" w:color="auto" w:fill="auto"/>
          </w:tcPr>
          <w:p>
            <w:pPr>
              <w:pStyle w:val="EmptyLayoutCell"/>
            </w:pPr>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1" w:type="dxa"/>
            <w:shd w:val="clear" w:color="auto" w:fill="auto"/>
          </w:tcPr>
          <w:p>
            <w:pPr>
              <w:pStyle w:val="EmptyLayoutCell"/>
            </w:pPr>
          </w:p>
        </w:tc>
        <w:tc>
          <w:tcPr>
            <w:tcW w:w="15386" w:type="dxa"/>
            <w:gridSpan w:val="2"/>
            <w:shd w:val="clear" w:color="auto" w:fill="auto"/>
          </w:tcPr>
          <w:tbl>
            <w:tblPr>
              <w:tblInd w:w="39" w:type="dxa"/>
              <w:tblCellMar>
                <w:left w:w="0" w:type="dxa"/>
                <w:right w:w="0" w:type="dxa"/>
              </w:tblCellMar>
              <w:tblLook w:val="0000"/>
            </w:tblPr>
            <w:tblGrid>
              <w:gridCol w:w="3741"/>
              <w:gridCol w:w="11644"/>
            </w:tblGrid>
            <w:tr>
              <w:tblPrEx>
                <w:tblInd w:w="39" w:type="dxa"/>
                <w:tblCellMar>
                  <w:left w:w="0" w:type="dxa"/>
                  <w:right w:w="0" w:type="dxa"/>
                </w:tblCellMar>
                <w:tblLook w:val="0000"/>
              </w:tblPrEx>
              <w:trPr>
                <w:trHeight w:val="375"/>
              </w:trPr>
              <w:tc>
                <w:tcPr>
                  <w:tcW w:w="15385" w:type="dxa"/>
                  <w:gridSpan w:val="2"/>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Позиви</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Датум и време упућивања позива:</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16.12.2022 20:18:41</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Рок за подношење:</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20.12.2022 12:00:00</w:t>
                  </w:r>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1" w:type="dxa"/>
            <w:shd w:val="clear" w:color="auto" w:fill="auto"/>
          </w:tcPr>
          <w:p>
            <w:pPr>
              <w:pStyle w:val="EmptyLayoutCell"/>
            </w:pPr>
          </w:p>
        </w:tc>
        <w:tc>
          <w:tcPr>
            <w:tcW w:w="4422" w:type="dxa"/>
            <w:shd w:val="clear" w:color="auto" w:fill="auto"/>
          </w:tcPr>
          <w:tbl>
            <w:tblPr>
              <w:tblInd w:w="39" w:type="dxa"/>
              <w:tblCellMar>
                <w:left w:w="0" w:type="dxa"/>
                <w:right w:w="0" w:type="dxa"/>
              </w:tblCellMar>
              <w:tblLook w:val="0000"/>
            </w:tblPr>
            <w:tblGrid>
              <w:gridCol w:w="3741"/>
              <w:gridCol w:w="680"/>
            </w:tblGrid>
            <w:tr>
              <w:tblPrEx>
                <w:tblInd w:w="39" w:type="dxa"/>
                <w:tblCellMar>
                  <w:left w:w="0" w:type="dxa"/>
                  <w:right w:w="0" w:type="dxa"/>
                </w:tblCellMar>
                <w:tblLook w:val="0000"/>
              </w:tblPrEx>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Позвани привредни субјекти:</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extDirection w:val="tbRlV"/>
                </w:tcPr>
                <w:p>
                  <w:pPr>
                    <w:bidi w:val="0"/>
                    <w:jc w:val="left"/>
                  </w:pPr>
                  <w:r>
                    <w:rPr>
                      <w:rFonts w:ascii="Arial" w:eastAsia="Arial" w:hAnsi="Arial"/>
                      <w:b/>
                      <w:i w:val="0"/>
                      <w:color w:val="000000"/>
                      <w:sz w:val="20"/>
                    </w:rPr>
                    <w:t>101531456</w:t>
                    <w:br/>
                    <w:t>НЕОМЕДИЦА ДОО НИШ</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Набавка реагенаса и контрола за за апарат „Пхоениx НЦЦ - 61“ и  ПОЦ апарат„НW 37“</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X</w:t>
                  </w:r>
                </w:p>
              </w:tc>
            </w:tr>
          </w:tbl>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bl>
    <w:p>
      <w:r>
        <w:br w:type="page"/>
      </w:r>
    </w:p>
    <w:p>
      <w:pPr>
        <w:pStyle w:val="EmptyLayoutCell"/>
      </w:pPr>
    </w:p>
    <w:tbl>
      <w:tblPr>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Датум и време отварања: 20.12.2022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Електронско отварање понуда завршено у: 20.12.2022 12:02:44</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1</w:t>
                              </w:r>
                            </w:p>
                          </w:tc>
                        </w:tr>
                      </w:tbl>
                      <w:p/>
                    </w:tc>
                    <w:tc>
                      <w:tcPr>
                        <w:tcW w:w="23" w:type="dxa"/>
                        <w:shd w:val="clear" w:color="auto" w:fill="auto"/>
                      </w:tcPr>
                      <w:p>
                        <w:pPr>
                          <w:pStyle w:val="EmptyLayoutCell"/>
                        </w:pPr>
                      </w:p>
                    </w:tc>
                  </w:tr>
                  <w:tr>
                    <w:tblPrEx>
                      <w:tblCellMar>
                        <w:left w:w="0" w:type="dxa"/>
                        <w:right w:w="0" w:type="dxa"/>
                      </w:tblCellMar>
                      <w:tblLook w:val="0000"/>
                    </w:tblPrEx>
                    <w:tc>
                      <w:tcPr>
                        <w:tcW w:w="15373" w:type="dxa"/>
                        <w:shd w:val="clear" w:color="auto" w:fill="auto"/>
                      </w:tcPr>
                      <w:tbl>
                        <w:tblPr>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НЕОМЕДИЦА ДОО НИШ, БУЛЕВАР СВЕТОГ ЦАРА КОНСТАНТИНА, 82-86, 18000,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215/22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20.12.2022. 09:13:57</w:t>
                              </w:r>
                            </w:p>
                          </w:tc>
                        </w:tr>
                      </w:tbl>
                      <w:p/>
                    </w:tc>
                    <w:tc>
                      <w:tcPr>
                        <w:tcW w:w="23" w:type="dxa"/>
                        <w:shd w:val="clear" w:color="auto" w:fill="auto"/>
                      </w:tcPr>
                      <w:p>
                        <w:pPr>
                          <w:pStyle w:val="EmptyLayoutCell"/>
                        </w:pPr>
                      </w:p>
                    </w:tc>
                  </w:tr>
                </w:tbl>
                <w:p/>
              </w:tc>
            </w:tr>
          </w:tbl>
          <w:p/>
        </w:tc>
        <w:tc>
          <w:tcPr>
            <w:tcW w:w="192" w:type="dxa"/>
            <w:shd w:val="clear" w:color="auto" w:fill="auto"/>
          </w:tcPr>
          <w:p>
            <w:pPr>
              <w:pStyle w:val="EmptyLayoutCell"/>
            </w:pPr>
          </w:p>
        </w:tc>
      </w:tr>
      <w:tr>
        <w:tblPrEx>
          <w:tblCellMar>
            <w:left w:w="0" w:type="dxa"/>
            <w:right w:w="0" w:type="dxa"/>
          </w:tblCellMar>
          <w:tblLook w:val="0000"/>
        </w:tblPrEx>
        <w:trPr>
          <w:trHeight w:val="62"/>
        </w:trPr>
        <w:tc>
          <w:tcPr>
            <w:tcW w:w="15397" w:type="dxa"/>
            <w:shd w:val="clear" w:color="auto" w:fill="auto"/>
          </w:tcPr>
          <w:p>
            <w:pPr>
              <w:pStyle w:val="EmptyLayoutCell"/>
            </w:pPr>
          </w:p>
        </w:tc>
        <w:tc>
          <w:tcPr>
            <w:tcW w:w="192" w:type="dxa"/>
            <w:shd w:val="clear" w:color="auto" w:fill="auto"/>
          </w:tcPr>
          <w:p>
            <w:pPr>
              <w:pStyle w:val="EmptyLayoutCell"/>
            </w:pPr>
          </w:p>
        </w:tc>
      </w:tr>
    </w:tbl>
    <w:p>
      <w:r>
        <w:br w:type="page"/>
      </w:r>
    </w:p>
    <w:p>
      <w:pPr>
        <w:pStyle w:val="EmptyLayoutCell"/>
      </w:pPr>
    </w:p>
    <w:tbl>
      <w:tblPr>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НЕОМЕДИЦА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2409873.50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2891848.20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 одложено вирманом</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65</w:t>
                              </w:r>
                            </w:p>
                          </w:tc>
                        </w:tr>
                      </w:tbl>
                      <w:p/>
                    </w:tc>
                    <w:tc>
                      <w:tcPr>
                        <w:tcW w:w="7081" w:type="dxa"/>
                        <w:shd w:val="clear" w:color="auto" w:fill="auto"/>
                      </w:tcPr>
                      <w:p>
                        <w:pPr>
                          <w:pStyle w:val="EmptyLayoutCell"/>
                        </w:pPr>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50"/>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392"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18"/>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i w:val="0"/>
                                  <w:color w:val="000000"/>
                                  <w:sz w:val="18"/>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18"/>
                                </w:rPr>
                                <w:t>НЕОМЕДИЦА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2409873.50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2891848.20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18"/>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45 дана одложено вирманом</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18"/>
                                </w:rPr>
                                <w:t>65</w:t>
                              </w:r>
                            </w:p>
                          </w:tc>
                        </w:tr>
                      </w:tbl>
                      <w:p/>
                    </w:tc>
                    <w:tc>
                      <w:tcPr>
                        <w:tcW w:w="7087" w:type="dxa"/>
                        <w:shd w:val="clear" w:color="auto" w:fill="auto"/>
                      </w:tcPr>
                      <w:p>
                        <w:pPr>
                          <w:pStyle w:val="EmptyLayoutCell"/>
                        </w:pPr>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48"/>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05" w:type="dxa"/>
            <w:gridSpan w:val="2"/>
            <w:shd w:val="clear" w:color="auto" w:fill="auto"/>
          </w:tcPr>
          <w:tbl>
            <w:tblPr>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Стручна оцена</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right"/>
                              </w:pPr>
                              <w:r>
                                <w:rPr>
                                  <w:rFonts w:ascii="Arial" w:eastAsia="Arial" w:hAnsi="Arial"/>
                                  <w:b w:val="0"/>
                                  <w:i w:val="0"/>
                                  <w:color w:val="000000"/>
                                  <w:sz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НЕОМЕДИЦА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2.409.873,50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right"/>
                              </w:pPr>
                              <w:r>
                                <w:rPr>
                                  <w:rFonts w:ascii="Arial" w:eastAsia="Arial" w:hAnsi="Arial"/>
                                  <w:b w:val="0"/>
                                  <w:i w:val="0"/>
                                  <w:color w:val="000000"/>
                                  <w:sz w:val="20"/>
                                </w:rPr>
                                <w:t>2.891.848,20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РСД</w:t>
                              </w:r>
                            </w:p>
                          </w:tc>
                        </w:tr>
                      </w:tbl>
                      <w:p/>
                    </w:tc>
                  </w:tr>
                </w:tbl>
                <w:p/>
              </w:tc>
            </w:tr>
          </w:tbl>
          <w:p/>
        </w:tc>
        <w:tc>
          <w:tcPr>
            <w:tcW w:w="179" w:type="dxa"/>
            <w:shd w:val="clear" w:color="auto" w:fill="auto"/>
          </w:tcPr>
          <w:p>
            <w:pPr>
              <w:pStyle w:val="EmptyLayoutCell"/>
            </w:pPr>
          </w:p>
        </w:tc>
      </w:tr>
      <w:tr>
        <w:tblPrEx>
          <w:tblCellMar>
            <w:left w:w="0" w:type="dxa"/>
            <w:right w:w="0" w:type="dxa"/>
          </w:tblCellMar>
          <w:tblLook w:val="0000"/>
        </w:tblPrEx>
        <w:trPr>
          <w:trHeight w:val="14"/>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05" w:type="dxa"/>
            <w:gridSpan w:val="2"/>
            <w:shd w:val="clear" w:color="auto" w:fill="auto"/>
          </w:tcPr>
          <w:tbl>
            <w:tblPr>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r>
                  <w:tr>
                    <w:tblPrEx>
                      <w:tblCellMar>
                        <w:left w:w="0" w:type="dxa"/>
                        <w:right w:w="0" w:type="dxa"/>
                      </w:tblCellMar>
                      <w:tblLook w:val="0000"/>
                    </w:tblPrEx>
                    <w:trPr>
                      <w:trHeight w:val="298"/>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c>
                      <w:tcPr>
                        <w:tcW w:w="15372" w:type="dxa"/>
                        <w:gridSpan w:val="2"/>
                        <w:shd w:val="clear" w:color="auto" w:fill="auto"/>
                      </w:tcPr>
                      <w:tbl>
                        <w:tblPr>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Arial" w:eastAsia="Arial" w:hAnsi="Arial"/>
                                  <w:b w:val="0"/>
                                  <w:i w:val="0"/>
                                  <w:color w:val="000000"/>
                                  <w:sz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center"/>
                              </w:pPr>
                              <w:r>
                                <w:rPr>
                                  <w:rFonts w:ascii="Arial" w:eastAsia="Arial" w:hAnsi="Arial"/>
                                  <w:b w:val="0"/>
                                  <w:i w:val="0"/>
                                  <w:color w:val="000000"/>
                                  <w:sz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i w:val="0"/>
                                  <w:color w:val="000000"/>
                                  <w:sz w:val="20"/>
                                </w:rPr>
                                <w:t>НЕОМЕДИЦА ДОО НИШ</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left"/>
                              </w:pPr>
                              <w:r>
                                <w:rPr>
                                  <w:rFonts w:ascii="Arial" w:eastAsia="Arial" w:hAnsi="Arial"/>
                                  <w:b w:val="0"/>
                                  <w:i w:val="0"/>
                                  <w:color w:val="000000"/>
                                  <w:sz w:val="20"/>
                                </w:rPr>
                                <w:t>Цена понуде: 2.409.873,50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bidi w:val="0"/>
                                <w:jc w:val="center"/>
                              </w:pPr>
                              <w:r>
                                <w:rPr>
                                  <w:rFonts w:ascii="Arial" w:eastAsia="Arial" w:hAnsi="Arial"/>
                                  <w:b w:val="0"/>
                                  <w:i w:val="0"/>
                                  <w:color w:val="000000"/>
                                  <w:sz w:val="20"/>
                                </w:rPr>
                                <w:t>ДА</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27"/>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340"/>
                    </w:trPr>
                    <w:tc>
                      <w:tcPr>
                        <w:tcW w:w="3741" w:type="dxa"/>
                        <w:shd w:val="clear" w:color="auto" w:fill="auto"/>
                      </w:tcPr>
                      <w:tbl>
                        <w:tblPr>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Образложење избора</w:t>
                              </w:r>
                            </w:p>
                          </w:tc>
                        </w:tr>
                      </w:tbl>
                      <w:p/>
                    </w:tc>
                    <w:tc>
                      <w:tcPr>
                        <w:tcW w:w="11631" w:type="dxa"/>
                        <w:shd w:val="clear" w:color="auto" w:fill="auto"/>
                      </w:tcPr>
                      <w:tbl>
                        <w:tblPr>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Понуђач је доставио благовремеу, исправну и прихватљиву понуду, која је прихваћена у преговарачком поступку од стране Комисије за ЈН 9.</w:t>
                              </w:r>
                            </w:p>
                          </w:tc>
                        </w:tr>
                      </w:tbl>
                      <w:p/>
                    </w:tc>
                    <w:tc>
                      <w:tcPr>
                        <w:tcW w:w="13" w:type="dxa"/>
                        <w:shd w:val="clear" w:color="auto" w:fill="auto"/>
                      </w:tcPr>
                      <w:p>
                        <w:pPr>
                          <w:pStyle w:val="EmptyLayoutCell"/>
                        </w:pPr>
                      </w:p>
                    </w:tc>
                    <w:tc>
                      <w:tcPr>
                        <w:tcW w:w="13" w:type="dxa"/>
                        <w:shd w:val="clear" w:color="auto" w:fill="auto"/>
                      </w:tcPr>
                      <w:p>
                        <w:pPr>
                          <w:pStyle w:val="EmptyLayoutCell"/>
                        </w:pPr>
                      </w:p>
                    </w:tc>
                  </w:tr>
                  <w:tr>
                    <w:tblPrEx>
                      <w:tblCellMar>
                        <w:left w:w="0" w:type="dxa"/>
                        <w:right w:w="0" w:type="dxa"/>
                      </w:tblCellMar>
                      <w:tblLook w:val="0000"/>
                    </w:tblPrEx>
                    <w:trPr>
                      <w:trHeight w:val="16"/>
                    </w:trPr>
                    <w:tc>
                      <w:tcPr>
                        <w:tcW w:w="3741" w:type="dxa"/>
                        <w:shd w:val="clear" w:color="auto" w:fill="auto"/>
                      </w:tcPr>
                      <w:p>
                        <w:pPr>
                          <w:pStyle w:val="EmptyLayoutCell"/>
                        </w:pPr>
                      </w:p>
                    </w:tc>
                    <w:tc>
                      <w:tcPr>
                        <w:tcW w:w="11631" w:type="dxa"/>
                        <w:shd w:val="clear" w:color="auto" w:fill="auto"/>
                      </w:tcPr>
                      <w:p>
                        <w:pPr>
                          <w:pStyle w:val="EmptyLayoutCell"/>
                        </w:pPr>
                      </w:p>
                    </w:tc>
                    <w:tc>
                      <w:tcPr>
                        <w:tcW w:w="13" w:type="dxa"/>
                        <w:shd w:val="clear" w:color="auto" w:fill="auto"/>
                      </w:tcPr>
                      <w:p>
                        <w:pPr>
                          <w:pStyle w:val="EmptyLayoutCell"/>
                        </w:pPr>
                      </w:p>
                    </w:tc>
                    <w:tc>
                      <w:tcPr>
                        <w:tcW w:w="13" w:type="dxa"/>
                        <w:shd w:val="clear" w:color="auto" w:fill="auto"/>
                      </w:tcPr>
                      <w:p>
                        <w:pPr>
                          <w:pStyle w:val="EmptyLayoutCell"/>
                        </w:pPr>
                      </w:p>
                    </w:tc>
                  </w:tr>
                </w:tbl>
                <w:p/>
              </w:tc>
            </w:tr>
          </w:tbl>
          <w:p/>
        </w:tc>
        <w:tc>
          <w:tcPr>
            <w:tcW w:w="179" w:type="dxa"/>
            <w:shd w:val="clear" w:color="auto" w:fill="auto"/>
          </w:tcPr>
          <w:p>
            <w:pPr>
              <w:pStyle w:val="EmptyLayoutCell"/>
            </w:pPr>
          </w:p>
        </w:tc>
      </w:tr>
      <w:tr>
        <w:tblPrEx>
          <w:tblCellMar>
            <w:left w:w="0" w:type="dxa"/>
            <w:right w:w="0" w:type="dxa"/>
          </w:tblCellMar>
          <w:tblLook w:val="0000"/>
        </w:tblPrEx>
        <w:trPr>
          <w:trHeight w:val="514"/>
        </w:trPr>
        <w:tc>
          <w:tcPr>
            <w:tcW w:w="15392"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bl>
    <w:p>
      <w:r>
        <w:br w:type="page"/>
      </w:r>
    </w:p>
    <w:p>
      <w:pPr>
        <w:pStyle w:val="EmptyLayoutCell"/>
      </w:pPr>
    </w:p>
    <w:tbl>
      <w:tblPr>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67"/>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Кратак опис тока преговора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Обзиром да се преговаеање вршило у једном кораку, наручилац је прихватио електронску понуду понуђача  "Неомедица"доо Ниш број 215/22 од 20.12.2022.године у износу од 2.409.873,50 динара без ПДВ-а, односно 2.891.848,20 динара са ПДВ-ом.</w:t>
                  </w:r>
                </w:p>
              </w:tc>
            </w:tr>
          </w:tbl>
          <w:p/>
        </w:tc>
        <w:tc>
          <w:tcPr>
            <w:tcW w:w="192" w:type="dxa"/>
            <w:shd w:val="clear" w:color="auto" w:fill="auto"/>
          </w:tcPr>
          <w:p>
            <w:pPr>
              <w:pStyle w:val="EmptyLayoutCell"/>
            </w:pPr>
          </w:p>
        </w:tc>
      </w:tr>
    </w:tbl>
    <w:p/>
    <w:sectPr>
      <w:pgSz w:w="16837" w:h="11905" w:orient="landscape"/>
      <w:pgMar w:top="566" w:right="566" w:bottom="566" w:left="680" w:header="0" w:foo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Calibri">
    <w:panose1 w:val="020B0604020202020204"/>
    <w:charset w:val="00"/>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revisionView w:comments="0" w:formatting="0" w:inkAnnotations="1" w:insDel="0" w:markup="0"/>
  <w:defaultTabStop w:val="720"/>
  <w:defaultTableStyle w:val="Normal"/>
  <w:displayHorizontalDrawingGridEvery w:val="0"/>
  <w:displayVerticalDrawingGridEvery w:val="0"/>
  <w:doNotUseMarginsForDrawingGridOrigin/>
  <w:drawingGridHorizontalOrigin w:val="1701"/>
  <w:drawingGridVerticalOrigin w:val="1984"/>
  <w:noPunctuationKerning/>
  <w:characterSpacingControl w:val="doNotCompress"/>
  <w:doNotEmbedSmartTag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lang w:val="en-US" w:eastAsia="en-US"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EmptyLayoutCell">
    <w:name w:val="EmptyLayoutCell"/>
    <w:basedOn w:val="Normal"/>
    <w:rPr>
      <w:w w:val="85"/>
      <w:sz w:val="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