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7 -->
  <w:body>
    <w:tbl>
      <w:tblPr>
        <w:tblCellMar>
          <w:left w:w="0" w:type="dxa"/>
          <w:right w:w="0" w:type="dxa"/>
        </w:tblCellMar>
        <w:tblLook w:val="0000"/>
      </w:tblPr>
      <w:tblGrid>
        <w:gridCol w:w="15397"/>
        <w:gridCol w:w="13"/>
        <w:gridCol w:w="179"/>
      </w:tblGrid>
      <w:tr>
        <w:tblPrEx>
          <w:tblCellMar>
            <w:left w:w="0" w:type="dxa"/>
            <w:right w:w="0" w:type="dxa"/>
          </w:tblCellMar>
          <w:tblLook w:val="0000"/>
        </w:tblPrEx>
        <w:trPr>
          <w:trHeight w:val="453"/>
        </w:trPr>
        <w:tc>
          <w:tcPr>
            <w:tcW w:w="15589" w:type="dxa"/>
            <w:gridSpan w:val="3"/>
            <w:shd w:val="clear" w:color="auto" w:fill="auto"/>
          </w:tcPr>
          <w:tbl>
            <w:tblPr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590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75"/>
              </w:trPr>
              <w:tc>
                <w:tcPr>
                  <w:tcW w:w="1559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bidi w:val="0"/>
                    <w:jc w:val="center"/>
                  </w:pPr>
                  <w:r>
                    <w:rPr>
                      <w:rFonts w:ascii="Calibri" w:eastAsia="Calibri" w:hAnsi="Calibri"/>
                      <w:b/>
                      <w:i w:val="0"/>
                      <w:color w:val="000000"/>
                      <w:sz w:val="28"/>
                    </w:rPr>
                    <w:t>ИЗВЕШТАЈ О ПОСТУПКУ</w:t>
                  </w:r>
                </w:p>
              </w:tc>
            </w:tr>
          </w:tbl>
          <w:p/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453"/>
        </w:trPr>
        <w:tc>
          <w:tcPr>
            <w:tcW w:w="15589" w:type="dxa"/>
            <w:gridSpan w:val="3"/>
            <w:shd w:val="clear" w:color="auto" w:fill="auto"/>
          </w:tcPr>
          <w:tbl>
            <w:tblPr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590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75"/>
              </w:trPr>
              <w:tc>
                <w:tcPr>
                  <w:tcW w:w="1559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bidi w:val="0"/>
                    <w:jc w:val="center"/>
                  </w:pPr>
                  <w:r>
                    <w:rPr>
                      <w:rFonts w:ascii="Calibri" w:eastAsia="Calibri" w:hAnsi="Calibri"/>
                      <w:b w:val="0"/>
                      <w:i w:val="0"/>
                      <w:color w:val="000000"/>
                      <w:sz w:val="20"/>
                    </w:rPr>
                    <w:t>Датум креирања извештаја: 11.05.2023 08:50:42</w:t>
                  </w:r>
                </w:p>
              </w:tc>
            </w:tr>
          </w:tbl>
          <w:p/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40"/>
        </w:trPr>
        <w:tc>
          <w:tcPr>
            <w:tcW w:w="15397" w:type="dxa"/>
            <w:shd w:val="clear" w:color="auto" w:fill="auto"/>
          </w:tcPr>
          <w:p>
            <w:pPr>
              <w:pStyle w:val="EmptyLayoutCell"/>
            </w:pPr>
          </w:p>
        </w:tc>
        <w:tc>
          <w:tcPr>
            <w:tcW w:w="13" w:type="dxa"/>
            <w:shd w:val="clear" w:color="auto" w:fill="auto"/>
          </w:tcPr>
          <w:p>
            <w:pPr>
              <w:pStyle w:val="EmptyLayoutCell"/>
            </w:pPr>
          </w:p>
        </w:tc>
        <w:tc>
          <w:tcPr>
            <w:tcW w:w="179" w:type="dxa"/>
            <w:shd w:val="clear" w:color="auto" w:fill="auto"/>
          </w:tcPr>
          <w:p>
            <w:pPr>
              <w:pStyle w:val="EmptyLayoutCell"/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7" w:type="dxa"/>
            <w:shd w:val="clear" w:color="auto" w:fill="auto"/>
          </w:tcPr>
          <w:tbl>
            <w:tblPr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3752"/>
              <w:gridCol w:w="11645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545"/>
              </w:trPr>
              <w:tc>
                <w:tcPr>
                  <w:tcW w:w="15397" w:type="dxa"/>
                  <w:gridSpan w:val="2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Fonts w:ascii="Calibri" w:eastAsia="Calibri" w:hAnsi="Calibri"/>
                      <w:b/>
                      <w:i w:val="0"/>
                      <w:color w:val="000000"/>
                      <w:sz w:val="24"/>
                    </w:rPr>
                    <w:t>Подаци о поступку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Fonts w:ascii="Calibri" w:eastAsia="Calibri" w:hAnsi="Calibri"/>
                      <w:b w:val="0"/>
                      <w:i w:val="0"/>
                      <w:color w:val="000000"/>
                      <w:sz w:val="20"/>
                    </w:rPr>
                    <w:t>Назив поступка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Fonts w:ascii="Calibri" w:eastAsia="Calibri" w:hAnsi="Calibri"/>
                      <w:b/>
                      <w:i w:val="0"/>
                      <w:color w:val="000000"/>
                      <w:sz w:val="20"/>
                    </w:rPr>
                    <w:t>Набавка погонског горива за санитетска и службена возила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Fonts w:ascii="Calibri" w:eastAsia="Calibri" w:hAnsi="Calibri"/>
                      <w:b w:val="0"/>
                      <w:i w:val="0"/>
                      <w:color w:val="000000"/>
                      <w:sz w:val="20"/>
                    </w:rPr>
                    <w:t>Реф. број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Fonts w:ascii="Calibri" w:eastAsia="Calibri" w:hAnsi="Calibri"/>
                      <w:b/>
                      <w:i w:val="0"/>
                      <w:color w:val="000000"/>
                      <w:sz w:val="20"/>
                    </w:rPr>
                    <w:t>ЈН 8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Fonts w:ascii="Calibri" w:eastAsia="Calibri" w:hAnsi="Calibri"/>
                      <w:b w:val="0"/>
                      <w:i w:val="0"/>
                      <w:color w:val="000000"/>
                      <w:sz w:val="20"/>
                    </w:rPr>
                    <w:t>Врста поступка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Fonts w:ascii="Calibri" w:eastAsia="Calibri" w:hAnsi="Calibri"/>
                      <w:b/>
                      <w:i w:val="0"/>
                      <w:color w:val="000000"/>
                      <w:sz w:val="20"/>
                    </w:rPr>
                    <w:t>Отворени поступак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Fonts w:ascii="Calibri" w:eastAsia="Calibri" w:hAnsi="Calibri"/>
                      <w:b w:val="0"/>
                      <w:i w:val="0"/>
                      <w:color w:val="000000"/>
                      <w:sz w:val="20"/>
                    </w:rPr>
                    <w:t>Број и датум одлуке о спровођењу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Fonts w:ascii="Calibri" w:eastAsia="Calibri" w:hAnsi="Calibri"/>
                      <w:b/>
                      <w:i w:val="0"/>
                      <w:color w:val="000000"/>
                      <w:sz w:val="20"/>
                    </w:rPr>
                    <w:t>2533/2022, 05.09.2022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Fonts w:ascii="Calibri" w:eastAsia="Calibri" w:hAnsi="Calibri"/>
                      <w:b w:val="0"/>
                      <w:i w:val="0"/>
                      <w:color w:val="000000"/>
                      <w:sz w:val="20"/>
                    </w:rPr>
                    <w:t>Процењена вредност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Fonts w:ascii="Calibri" w:eastAsia="Calibri" w:hAnsi="Calibri"/>
                      <w:b/>
                      <w:i w:val="0"/>
                      <w:color w:val="000000"/>
                      <w:sz w:val="20"/>
                    </w:rPr>
                    <w:t>7.500.000,00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Fonts w:ascii="Calibri" w:eastAsia="Calibri" w:hAnsi="Calibri"/>
                      <w:b w:val="0"/>
                      <w:i w:val="0"/>
                      <w:color w:val="000000"/>
                      <w:sz w:val="20"/>
                    </w:rPr>
                    <w:t>Техника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/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Fonts w:ascii="Calibri" w:eastAsia="Calibri" w:hAnsi="Calibri"/>
                      <w:b w:val="0"/>
                      <w:i w:val="0"/>
                      <w:color w:val="000000"/>
                      <w:sz w:val="20"/>
                    </w:rPr>
                    <w:t>ЦПВ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Fonts w:ascii="Calibri" w:eastAsia="Calibri" w:hAnsi="Calibri"/>
                      <w:b/>
                      <w:i w:val="0"/>
                      <w:color w:val="000000"/>
                      <w:sz w:val="20"/>
                    </w:rPr>
                    <w:t>09134200-Дизел гориво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Fonts w:ascii="Calibri" w:eastAsia="Calibri" w:hAnsi="Calibri"/>
                      <w:b w:val="0"/>
                      <w:i w:val="0"/>
                      <w:color w:val="000000"/>
                      <w:sz w:val="20"/>
                    </w:rPr>
                    <w:t>Кратак опис набавке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Fonts w:ascii="Calibri" w:eastAsia="Calibri" w:hAnsi="Calibri"/>
                      <w:b/>
                      <w:i w:val="0"/>
                      <w:color w:val="000000"/>
                      <w:sz w:val="20"/>
                    </w:rPr>
                    <w:t>Набавка погонског горива за службена возила установе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Fonts w:ascii="Calibri" w:eastAsia="Calibri" w:hAnsi="Calibri"/>
                      <w:b w:val="0"/>
                      <w:i w:val="0"/>
                      <w:color w:val="000000"/>
                      <w:sz w:val="20"/>
                    </w:rPr>
                    <w:t>Подељен у партије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Fonts w:ascii="Calibri" w:eastAsia="Calibri" w:hAnsi="Calibri"/>
                      <w:b/>
                      <w:i w:val="0"/>
                      <w:color w:val="000000"/>
                      <w:sz w:val="20"/>
                    </w:rPr>
                    <w:t>НЕ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60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Fonts w:ascii="Calibri" w:eastAsia="Calibri" w:hAnsi="Calibri"/>
                      <w:b w:val="0"/>
                      <w:i w:val="0"/>
                      <w:color w:val="000000"/>
                      <w:sz w:val="20"/>
                    </w:rPr>
                    <w:t>Образложење зашто предмет није подељен у партије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/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Fonts w:ascii="Calibri" w:eastAsia="Calibri" w:hAnsi="Calibri"/>
                      <w:b w:val="0"/>
                      <w:i w:val="0"/>
                      <w:color w:val="000000"/>
                      <w:sz w:val="20"/>
                    </w:rPr>
                    <w:t>Број огласа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Fonts w:ascii="Calibri" w:eastAsia="Calibri" w:hAnsi="Calibri"/>
                      <w:b/>
                      <w:i w:val="0"/>
                      <w:color w:val="000000"/>
                      <w:sz w:val="20"/>
                    </w:rPr>
                    <w:t>2022/С Ф02-0033405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Fonts w:ascii="Calibri" w:eastAsia="Calibri" w:hAnsi="Calibri"/>
                      <w:b w:val="0"/>
                      <w:i w:val="0"/>
                      <w:color w:val="000000"/>
                      <w:sz w:val="20"/>
                    </w:rPr>
                    <w:t>Врста огласа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Fonts w:ascii="Calibri" w:eastAsia="Calibri" w:hAnsi="Calibri"/>
                      <w:b/>
                      <w:i w:val="0"/>
                      <w:color w:val="000000"/>
                      <w:sz w:val="20"/>
                    </w:rPr>
                    <w:t>Јавни позив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Fonts w:ascii="Calibri" w:eastAsia="Calibri" w:hAnsi="Calibri"/>
                      <w:b w:val="0"/>
                      <w:i w:val="0"/>
                      <w:color w:val="000000"/>
                      <w:sz w:val="20"/>
                    </w:rPr>
                    <w:t>Објављено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Fonts w:ascii="Calibri" w:eastAsia="Calibri" w:hAnsi="Calibri"/>
                      <w:b/>
                      <w:i w:val="0"/>
                      <w:color w:val="000000"/>
                      <w:sz w:val="20"/>
                    </w:rPr>
                    <w:t>06.09.2022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Fonts w:ascii="Calibri" w:eastAsia="Calibri" w:hAnsi="Calibri"/>
                      <w:b w:val="0"/>
                      <w:i w:val="0"/>
                      <w:color w:val="000000"/>
                      <w:sz w:val="20"/>
                    </w:rPr>
                    <w:t>Рок за подношење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Fonts w:ascii="Calibri" w:eastAsia="Calibri" w:hAnsi="Calibri"/>
                      <w:b/>
                      <w:i w:val="0"/>
                      <w:color w:val="000000"/>
                      <w:sz w:val="20"/>
                    </w:rPr>
                    <w:t>15.09.2022 12:00:00</w:t>
                  </w:r>
                </w:p>
              </w:tc>
            </w:tr>
          </w:tbl>
          <w:p/>
        </w:tc>
        <w:tc>
          <w:tcPr>
            <w:tcW w:w="13" w:type="dxa"/>
            <w:shd w:val="clear" w:color="auto" w:fill="auto"/>
          </w:tcPr>
          <w:p>
            <w:pPr>
              <w:pStyle w:val="EmptyLayoutCell"/>
            </w:pPr>
          </w:p>
        </w:tc>
        <w:tc>
          <w:tcPr>
            <w:tcW w:w="179" w:type="dxa"/>
            <w:shd w:val="clear" w:color="auto" w:fill="auto"/>
          </w:tcPr>
          <w:p>
            <w:pPr>
              <w:pStyle w:val="EmptyLayoutCell"/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410" w:type="dxa"/>
            <w:gridSpan w:val="2"/>
            <w:shd w:val="clear" w:color="auto" w:fill="auto"/>
          </w:tcPr>
          <w:tbl>
            <w:tblPr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410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432"/>
              </w:trPr>
              <w:tc>
                <w:tcPr>
                  <w:tcW w:w="1541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Fonts w:ascii="Calibri" w:eastAsia="Calibri" w:hAnsi="Calibri"/>
                      <w:b/>
                      <w:i w:val="0"/>
                      <w:color w:val="000000"/>
                      <w:sz w:val="24"/>
                    </w:rPr>
                    <w:t>Чланови комисије за јавну набавку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5F5F5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Fonts w:ascii="Calibri" w:eastAsia="Calibri" w:hAnsi="Calibri"/>
                      <w:b w:val="0"/>
                      <w:i w:val="0"/>
                      <w:color w:val="000000"/>
                      <w:sz w:val="20"/>
                    </w:rPr>
                    <w:t>Име и презиме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Fonts w:ascii="Calibri" w:eastAsia="Calibri" w:hAnsi="Calibri"/>
                      <w:b w:val="0"/>
                      <w:i w:val="0"/>
                      <w:color w:val="000000"/>
                      <w:sz w:val="20"/>
                    </w:rPr>
                    <w:t>Матеја Мијатовић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Fonts w:ascii="Calibri" w:eastAsia="Calibri" w:hAnsi="Calibri"/>
                      <w:b w:val="0"/>
                      <w:i w:val="0"/>
                      <w:color w:val="000000"/>
                      <w:sz w:val="20"/>
                    </w:rPr>
                    <w:t>Саша Перовић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Fonts w:ascii="Calibri" w:eastAsia="Calibri" w:hAnsi="Calibri"/>
                      <w:b w:val="0"/>
                      <w:i w:val="0"/>
                      <w:color w:val="000000"/>
                      <w:sz w:val="20"/>
                    </w:rPr>
                    <w:t>Мирослав Станојчић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Fonts w:ascii="Calibri" w:eastAsia="Calibri" w:hAnsi="Calibri"/>
                      <w:b w:val="0"/>
                      <w:i w:val="0"/>
                      <w:color w:val="000000"/>
                      <w:sz w:val="20"/>
                    </w:rPr>
                    <w:t>Вања Лазовић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Fonts w:ascii="Calibri" w:eastAsia="Calibri" w:hAnsi="Calibri"/>
                      <w:b w:val="0"/>
                      <w:i w:val="0"/>
                      <w:color w:val="000000"/>
                      <w:sz w:val="20"/>
                    </w:rPr>
                    <w:t>Дарко Новичић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Fonts w:ascii="Calibri" w:eastAsia="Calibri" w:hAnsi="Calibri"/>
                      <w:b w:val="0"/>
                      <w:i w:val="0"/>
                      <w:color w:val="000000"/>
                      <w:sz w:val="20"/>
                    </w:rPr>
                    <w:t>Саша Радисављевић</w:t>
                  </w:r>
                </w:p>
              </w:tc>
            </w:tr>
          </w:tbl>
          <w:p/>
        </w:tc>
        <w:tc>
          <w:tcPr>
            <w:tcW w:w="179" w:type="dxa"/>
            <w:shd w:val="clear" w:color="auto" w:fill="auto"/>
          </w:tcPr>
          <w:p>
            <w:pPr>
              <w:pStyle w:val="EmptyLayoutCell"/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7" w:type="dxa"/>
            <w:shd w:val="clear" w:color="auto" w:fill="auto"/>
          </w:tcPr>
          <w:tbl>
            <w:tblPr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7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43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Fonts w:ascii="Calibri" w:eastAsia="Calibri" w:hAnsi="Calibri"/>
                      <w:b/>
                      <w:i w:val="0"/>
                      <w:color w:val="000000"/>
                      <w:sz w:val="24"/>
                    </w:rPr>
                    <w:t>Подаци о предмету / партијама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68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68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Набавка погонског горива за санитетска и службена возила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Критеријум за доделу уговора на основу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Цене</w:t>
                              </w:r>
                            </w:p>
                          </w:tc>
                        </w:tr>
                      </w:tbl>
                      <w:p/>
                    </w:tc>
                  </w:tr>
                </w:tbl>
                <w:p/>
              </w:tc>
            </w:tr>
          </w:tbl>
          <w:p/>
        </w:tc>
        <w:tc>
          <w:tcPr>
            <w:tcW w:w="13" w:type="dxa"/>
            <w:shd w:val="clear" w:color="auto" w:fill="auto"/>
          </w:tcPr>
          <w:p>
            <w:pPr>
              <w:pStyle w:val="EmptyLayoutCell"/>
            </w:pPr>
          </w:p>
        </w:tc>
        <w:tc>
          <w:tcPr>
            <w:tcW w:w="179" w:type="dxa"/>
            <w:shd w:val="clear" w:color="auto" w:fill="auto"/>
          </w:tcPr>
          <w:p>
            <w:pPr>
              <w:pStyle w:val="EmptyLayoutCell"/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56"/>
        </w:trPr>
        <w:tc>
          <w:tcPr>
            <w:tcW w:w="15397" w:type="dxa"/>
            <w:shd w:val="clear" w:color="auto" w:fill="auto"/>
          </w:tcPr>
          <w:p>
            <w:pPr>
              <w:pStyle w:val="EmptyLayoutCell"/>
            </w:pPr>
          </w:p>
        </w:tc>
        <w:tc>
          <w:tcPr>
            <w:tcW w:w="13" w:type="dxa"/>
            <w:shd w:val="clear" w:color="auto" w:fill="auto"/>
          </w:tcPr>
          <w:p>
            <w:pPr>
              <w:pStyle w:val="EmptyLayoutCell"/>
            </w:pPr>
          </w:p>
        </w:tc>
        <w:tc>
          <w:tcPr>
            <w:tcW w:w="179" w:type="dxa"/>
            <w:shd w:val="clear" w:color="auto" w:fill="auto"/>
          </w:tcPr>
          <w:p>
            <w:pPr>
              <w:pStyle w:val="EmptyLayoutCell"/>
            </w:pPr>
          </w:p>
        </w:tc>
      </w:tr>
    </w:tbl>
    <w:p>
      <w:r>
        <w:br w:type="page"/>
      </w:r>
    </w:p>
    <w:p>
      <w:pPr>
        <w:pStyle w:val="EmptyLayoutCell"/>
      </w:pPr>
    </w:p>
    <w:tbl>
      <w:tblPr>
        <w:tblCellMar>
          <w:left w:w="0" w:type="dxa"/>
          <w:right w:w="0" w:type="dxa"/>
        </w:tblCellMar>
        <w:tblLook w:val="0000"/>
      </w:tblPr>
      <w:tblGrid>
        <w:gridCol w:w="15397"/>
        <w:gridCol w:w="192"/>
      </w:tblGrid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7" w:type="dxa"/>
            <w:shd w:val="clear" w:color="auto" w:fill="auto"/>
          </w:tcPr>
          <w:tbl>
            <w:tblPr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7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Fonts w:ascii="Arial" w:eastAsia="Arial" w:hAnsi="Arial"/>
                      <w:b/>
                      <w:i w:val="0"/>
                      <w:color w:val="000000"/>
                      <w:sz w:val="24"/>
                    </w:rPr>
                    <w:t>Подаци о отварању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Fonts w:ascii="Arial" w:eastAsia="Arial" w:hAnsi="Arial"/>
                      <w:b w:val="0"/>
                      <w:i w:val="0"/>
                      <w:color w:val="000000"/>
                      <w:sz w:val="20"/>
                    </w:rPr>
                    <w:t>Датум и време отварања: 15.09.2022 12:15:00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Fonts w:ascii="Arial" w:eastAsia="Arial" w:hAnsi="Arial"/>
                      <w:b w:val="0"/>
                      <w:i w:val="0"/>
                      <w:color w:val="000000"/>
                      <w:sz w:val="20"/>
                    </w:rPr>
                    <w:t>Електронско отварање понуда завршено у: 15.09.2022 12:15:10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404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73"/>
                    <w:gridCol w:w="2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28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Број пристиглих понуда / пријава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2</w:t>
                              </w:r>
                            </w:p>
                          </w:tc>
                        </w:tr>
                      </w:tbl>
                      <w:p/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6625"/>
                          <w:gridCol w:w="2257"/>
                          <w:gridCol w:w="2233"/>
                          <w:gridCol w:w="1401"/>
                          <w:gridCol w:w="2856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Облик понуде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Ознака / број понуде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Подизвођачи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Датум и време подношења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НИС А.Д. НОВИ САД, Народног Фронта, 12, 21000, Нови Сад, Србија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Самостално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ДWН122300/из-до/1158/2022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8.9.2022. 12:32:09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КНЕЗ ПЕТРОЛ ДОО ЗЕМУН, ЦАРИЦЕ ЈЕЛЕНЕ, 28, 11273, Београд (Земун), Србија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Самостално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1746/ЈН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13.9.2022. 15:08:02</w:t>
                              </w:r>
                            </w:p>
                          </w:tc>
                        </w:tr>
                      </w:tbl>
                      <w:p/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92" w:type="dxa"/>
            <w:shd w:val="clear" w:color="auto" w:fill="auto"/>
          </w:tcPr>
          <w:p>
            <w:pPr>
              <w:pStyle w:val="EmptyLayoutCell"/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62"/>
        </w:trPr>
        <w:tc>
          <w:tcPr>
            <w:tcW w:w="15397" w:type="dxa"/>
            <w:shd w:val="clear" w:color="auto" w:fill="auto"/>
          </w:tcPr>
          <w:p>
            <w:pPr>
              <w:pStyle w:val="EmptyLayoutCell"/>
            </w:pPr>
          </w:p>
        </w:tc>
        <w:tc>
          <w:tcPr>
            <w:tcW w:w="192" w:type="dxa"/>
            <w:shd w:val="clear" w:color="auto" w:fill="auto"/>
          </w:tcPr>
          <w:p>
            <w:pPr>
              <w:pStyle w:val="EmptyLayoutCell"/>
            </w:pPr>
          </w:p>
        </w:tc>
      </w:tr>
    </w:tbl>
    <w:p>
      <w:r>
        <w:br w:type="page"/>
      </w:r>
    </w:p>
    <w:p>
      <w:pPr>
        <w:pStyle w:val="EmptyLayoutCell"/>
      </w:pPr>
    </w:p>
    <w:tbl>
      <w:tblPr>
        <w:tblCellMar>
          <w:left w:w="0" w:type="dxa"/>
          <w:right w:w="0" w:type="dxa"/>
        </w:tblCellMar>
        <w:tblLook w:val="0000"/>
      </w:tblPr>
      <w:tblGrid>
        <w:gridCol w:w="15392"/>
        <w:gridCol w:w="13"/>
        <w:gridCol w:w="179"/>
      </w:tblGrid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2" w:type="dxa"/>
            <w:shd w:val="clear" w:color="auto" w:fill="auto"/>
          </w:tcPr>
          <w:tbl>
            <w:tblPr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2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82"/>
              </w:trPr>
              <w:tc>
                <w:tcPr>
                  <w:tcW w:w="1539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Fonts w:ascii="Arial" w:eastAsia="Arial" w:hAnsi="Arial"/>
                      <w:b/>
                      <w:i w:val="0"/>
                      <w:color w:val="000000"/>
                      <w:sz w:val="24"/>
                    </w:rPr>
                    <w:t>Аналитички приказ поднетих понуда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36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8310"/>
                    <w:gridCol w:w="7081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/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Подаци о цени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Остали захтеви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Цена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Цена (са ПДВ)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Валута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Рок и начин плаћања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Рок важења понуде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КНЕЗ ПЕТРОЛ ДОО ЗЕМУН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7594734.00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9113500.00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45 дана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30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НИС А.Д. НОВИ САД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7862084.00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9434500.00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одложено 45 дана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90</w:t>
                              </w:r>
                            </w:p>
                          </w:tc>
                        </w:tr>
                      </w:tbl>
                      <w:p/>
                    </w:tc>
                    <w:tc>
                      <w:tcPr>
                        <w:tcW w:w="7081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3" w:type="dxa"/>
            <w:shd w:val="clear" w:color="auto" w:fill="auto"/>
          </w:tcPr>
          <w:p>
            <w:pPr>
              <w:pStyle w:val="EmptyLayoutCell"/>
            </w:pPr>
          </w:p>
        </w:tc>
        <w:tc>
          <w:tcPr>
            <w:tcW w:w="179" w:type="dxa"/>
            <w:shd w:val="clear" w:color="auto" w:fill="auto"/>
          </w:tcPr>
          <w:p>
            <w:pPr>
              <w:pStyle w:val="EmptyLayoutCell"/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50"/>
        </w:trPr>
        <w:tc>
          <w:tcPr>
            <w:tcW w:w="15392" w:type="dxa"/>
            <w:shd w:val="clear" w:color="auto" w:fill="auto"/>
          </w:tcPr>
          <w:p>
            <w:pPr>
              <w:pStyle w:val="EmptyLayoutCell"/>
            </w:pPr>
          </w:p>
        </w:tc>
        <w:tc>
          <w:tcPr>
            <w:tcW w:w="13" w:type="dxa"/>
            <w:shd w:val="clear" w:color="auto" w:fill="auto"/>
          </w:tcPr>
          <w:p>
            <w:pPr>
              <w:pStyle w:val="EmptyLayoutCell"/>
            </w:pPr>
          </w:p>
        </w:tc>
        <w:tc>
          <w:tcPr>
            <w:tcW w:w="179" w:type="dxa"/>
            <w:shd w:val="clear" w:color="auto" w:fill="auto"/>
          </w:tcPr>
          <w:p>
            <w:pPr>
              <w:pStyle w:val="EmptyLayoutCell"/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2" w:type="dxa"/>
            <w:shd w:val="clear" w:color="auto" w:fill="auto"/>
          </w:tcPr>
          <w:tbl>
            <w:tblPr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7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Fonts w:ascii="Arial" w:eastAsia="Arial" w:hAnsi="Arial"/>
                      <w:b/>
                      <w:i w:val="0"/>
                      <w:color w:val="000000"/>
                      <w:sz w:val="24"/>
                    </w:rPr>
                    <w:t>Аналитички приказ понуда након допуштених исправки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36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8310"/>
                    <w:gridCol w:w="708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/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Подаци о цени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Остали захтеви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Цена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Цена (са ПДВ)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Валута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Рок и начин плаћања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Рок важења понуде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КНЕЗ ПЕТРОЛ ДОО ЗЕМУН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7594734.00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9113500.00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45 дана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30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НИС А.Д. НОВИ САД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7862084.00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9434500.00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одложено 45 дана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90</w:t>
                              </w:r>
                            </w:p>
                          </w:tc>
                        </w:tr>
                      </w:tbl>
                      <w:p/>
                    </w:tc>
                    <w:tc>
                      <w:tcPr>
                        <w:tcW w:w="7087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3" w:type="dxa"/>
            <w:shd w:val="clear" w:color="auto" w:fill="auto"/>
          </w:tcPr>
          <w:p>
            <w:pPr>
              <w:pStyle w:val="EmptyLayoutCell"/>
            </w:pPr>
          </w:p>
        </w:tc>
        <w:tc>
          <w:tcPr>
            <w:tcW w:w="179" w:type="dxa"/>
            <w:shd w:val="clear" w:color="auto" w:fill="auto"/>
          </w:tcPr>
          <w:p>
            <w:pPr>
              <w:pStyle w:val="EmptyLayoutCell"/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48"/>
        </w:trPr>
        <w:tc>
          <w:tcPr>
            <w:tcW w:w="15392" w:type="dxa"/>
            <w:shd w:val="clear" w:color="auto" w:fill="auto"/>
          </w:tcPr>
          <w:p>
            <w:pPr>
              <w:pStyle w:val="EmptyLayoutCell"/>
            </w:pPr>
          </w:p>
        </w:tc>
        <w:tc>
          <w:tcPr>
            <w:tcW w:w="13" w:type="dxa"/>
            <w:shd w:val="clear" w:color="auto" w:fill="auto"/>
          </w:tcPr>
          <w:p>
            <w:pPr>
              <w:pStyle w:val="EmptyLayoutCell"/>
            </w:pPr>
          </w:p>
        </w:tc>
        <w:tc>
          <w:tcPr>
            <w:tcW w:w="179" w:type="dxa"/>
            <w:shd w:val="clear" w:color="auto" w:fill="auto"/>
          </w:tcPr>
          <w:p>
            <w:pPr>
              <w:pStyle w:val="EmptyLayoutCell"/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405" w:type="dxa"/>
            <w:gridSpan w:val="2"/>
            <w:shd w:val="clear" w:color="auto" w:fill="auto"/>
          </w:tcPr>
          <w:tbl>
            <w:tblPr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411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418"/>
              </w:trPr>
              <w:tc>
                <w:tcPr>
                  <w:tcW w:w="15411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Fonts w:ascii="Arial" w:eastAsia="Arial" w:hAnsi="Arial"/>
                      <w:b/>
                      <w:i w:val="0"/>
                      <w:color w:val="000000"/>
                      <w:sz w:val="24"/>
                    </w:rPr>
                    <w:t>Стручна оцена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700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411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411" w:type="dxa"/>
                        <w:shd w:val="clear" w:color="auto" w:fill="auto"/>
                      </w:tcPr>
                      <w:tbl>
                        <w:tblPr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33"/>
                          <w:gridCol w:w="2834"/>
                          <w:gridCol w:w="2834"/>
                          <w:gridCol w:w="2154"/>
                          <w:gridCol w:w="2154"/>
                          <w:gridCol w:w="899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Прихватљиво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Одбијено или се не разматра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Износ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Износ (са ПДВ)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Валута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КНЕЗ ПЕТРОЛ ДОО ЗЕМУН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ДА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7.594.734,00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9.113.500,00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РСД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/>
                                  <w:color w:val="000000"/>
                                  <w:sz w:val="20"/>
                                </w:rPr>
                                <w:t>Напомена уз преглед понуде:</w:t>
                              </w:r>
                            </w:p>
                          </w:tc>
                          <w:tc>
                            <w:tcPr>
                              <w:tcW w:w="10875" w:type="dxa"/>
                              <w:gridSpan w:val="5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 xml:space="preserve">Понуда понуђача се не одбија, иако прелази износ процењене вредности јавне набавке, у складу са чл.146.став 2. ЗЈН, обзиром да обе понуде прелазе процењену вредност и да наведене вредности добара представљају реалну вредност тражених добара на тржишту, обзиром на честе промене цена ових добара на берзама. 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НИС А.Д. НОВИ САД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ДА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7.862.084,00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9.434.500,00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РСД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/>
                                  <w:color w:val="000000"/>
                                  <w:sz w:val="20"/>
                                </w:rPr>
                                <w:t>Напомена уз преглед понуде:</w:t>
                              </w:r>
                            </w:p>
                          </w:tc>
                          <w:tc>
                            <w:tcPr>
                              <w:tcW w:w="10875" w:type="dxa"/>
                              <w:gridSpan w:val="5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 xml:space="preserve">Понуда понуђача се не одбија, иако прелази износ процењене вредности јавне набавке, у складу са чл.146.став 2. ЗЈН, обзиром да обе понуде прелазе процењену вредност и да наведене вредности добара представљају реалну вредност тражених добара на тржишту, обзиром на честе промене цена ових добара на берзама. </w:t>
                              </w:r>
                            </w:p>
                          </w:tc>
                        </w:tr>
                      </w:tbl>
                      <w:p/>
                    </w:tc>
                  </w:tr>
                </w:tbl>
                <w:p/>
              </w:tc>
            </w:tr>
          </w:tbl>
          <w:p/>
        </w:tc>
        <w:tc>
          <w:tcPr>
            <w:tcW w:w="179" w:type="dxa"/>
            <w:shd w:val="clear" w:color="auto" w:fill="auto"/>
          </w:tcPr>
          <w:p>
            <w:pPr>
              <w:pStyle w:val="EmptyLayoutCell"/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14"/>
        </w:trPr>
        <w:tc>
          <w:tcPr>
            <w:tcW w:w="15392" w:type="dxa"/>
            <w:shd w:val="clear" w:color="auto" w:fill="auto"/>
          </w:tcPr>
          <w:p>
            <w:pPr>
              <w:pStyle w:val="EmptyLayoutCell"/>
            </w:pPr>
          </w:p>
        </w:tc>
        <w:tc>
          <w:tcPr>
            <w:tcW w:w="13" w:type="dxa"/>
            <w:shd w:val="clear" w:color="auto" w:fill="auto"/>
          </w:tcPr>
          <w:p>
            <w:pPr>
              <w:pStyle w:val="EmptyLayoutCell"/>
            </w:pPr>
          </w:p>
        </w:tc>
        <w:tc>
          <w:tcPr>
            <w:tcW w:w="179" w:type="dxa"/>
            <w:shd w:val="clear" w:color="auto" w:fill="auto"/>
          </w:tcPr>
          <w:p>
            <w:pPr>
              <w:pStyle w:val="EmptyLayoutCell"/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405" w:type="dxa"/>
            <w:gridSpan w:val="2"/>
            <w:shd w:val="clear" w:color="auto" w:fill="auto"/>
          </w:tcPr>
          <w:tbl>
            <w:tblPr>
              <w:tblCellMar>
                <w:left w:w="0" w:type="dxa"/>
                <w:right w:w="0" w:type="dxa"/>
              </w:tblCellMar>
              <w:tblLook w:val="0000"/>
            </w:tblPr>
            <w:tblGrid>
              <w:gridCol w:w="15411"/>
            </w:tblGrid>
            <w:tr>
              <w:tblPrEx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455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35"/>
                          <w:gridCol w:w="1159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Уговор ће се доделити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ДА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Сукоб интереса који је утврђен и мере које су поводом тога предузете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/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Додатни подаци / Напомена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/>
                          </w:tc>
                        </w:tr>
                      </w:tbl>
                      <w:p/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00"/>
                          <w:gridCol w:w="1614"/>
                          <w:gridCol w:w="7306"/>
                          <w:gridCol w:w="189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Ранг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Образложење ранга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Бира се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КНЕЗ ПЕТРОЛ ДОО ЗЕМУН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Цена понуде: 7.594.734,00 РСД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ДА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НИС А.Д. НОВИ САД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Цена понуде: 7.862.084,00 РСД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НЕ</w:t>
                              </w:r>
                            </w:p>
                          </w:tc>
                        </w:tr>
                      </w:tbl>
                      <w:p/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4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Образложење избора</w:t>
                              </w:r>
                            </w:p>
                          </w:tc>
                        </w:tr>
                      </w:tbl>
                      <w:p/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163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 xml:space="preserve">Уговор се додељује изабраном понуђачу, иако понуђена вредност прелази износ процењене вредности јавне набавке, у складу са чл.146.став 2. ЗЈН, обзиром да обе понуде прелазе процењену вредност и да наведене вредности добара представљају реалну вредност тражених добара на тржишту, обзиром на честе промене цена ових добара на берзама. </w:t>
                              </w:r>
                            </w:p>
                          </w:tc>
                        </w:tr>
                      </w:tbl>
                      <w:p/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79" w:type="dxa"/>
            <w:shd w:val="clear" w:color="auto" w:fill="auto"/>
          </w:tcPr>
          <w:p>
            <w:pPr>
              <w:pStyle w:val="EmptyLayoutCell"/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523"/>
        </w:trPr>
        <w:tc>
          <w:tcPr>
            <w:tcW w:w="15392" w:type="dxa"/>
            <w:shd w:val="clear" w:color="auto" w:fill="auto"/>
          </w:tcPr>
          <w:p>
            <w:pPr>
              <w:pStyle w:val="EmptyLayoutCell"/>
            </w:pPr>
          </w:p>
        </w:tc>
        <w:tc>
          <w:tcPr>
            <w:tcW w:w="13" w:type="dxa"/>
            <w:shd w:val="clear" w:color="auto" w:fill="auto"/>
          </w:tcPr>
          <w:p>
            <w:pPr>
              <w:pStyle w:val="EmptyLayoutCell"/>
            </w:pPr>
          </w:p>
        </w:tc>
        <w:tc>
          <w:tcPr>
            <w:tcW w:w="179" w:type="dxa"/>
            <w:shd w:val="clear" w:color="auto" w:fill="auto"/>
          </w:tcPr>
          <w:p>
            <w:pPr>
              <w:pStyle w:val="EmptyLayoutCell"/>
            </w:pPr>
          </w:p>
        </w:tc>
      </w:tr>
    </w:tbl>
    <w:p/>
    <w:sectPr>
      <w:pgSz w:w="16837" w:h="11905" w:orient="landscape"/>
      <w:pgMar w:top="566" w:right="566" w:bottom="566" w:left="680" w:header="0" w:foo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7A87" w:usb1="80000000" w:usb2="00000008" w:usb3="00000000" w:csb0="000001FF" w:csb1="00000000"/>
  </w:font>
  <w:font w:name="Calibri">
    <w:panose1 w:val="020B0604020202020204"/>
    <w:charset w:val="00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embedSystemFonts/>
  <w:stylePaneFormatFilter w:val="0000"/>
  <w:revisionView w:comments="0" w:formatting="0" w:inkAnnotations="1" w:insDel="0" w:markup="0"/>
  <w:defaultTabStop w:val="720"/>
  <w:defaultTableStyle w:val="Normal"/>
  <w:displayHorizontalDrawingGridEvery w:val="0"/>
  <w:displayVerticalDrawingGridEvery w:val="0"/>
  <w:doNotUseMarginsForDrawingGridOrigin/>
  <w:drawingGridHorizontalOrigin w:val="1701"/>
  <w:drawingGridVerticalOrigin w:val="1984"/>
  <w:noPunctuationKerning/>
  <w:characterSpacingControl w:val="doNotCompress"/>
  <w:doNotEmbedSmartTags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w w:val="85"/>
      <w:lang w:val="en-US" w:eastAsia="en-US"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mptyLayoutCell">
    <w:name w:val="EmptyLayoutCell"/>
    <w:basedOn w:val="Normal"/>
    <w:rPr>
      <w:w w:val="85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