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19.09.2022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2634/2022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2.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8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погонског горива за санитетска и службена возила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Ф02-0033405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09134200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погонског горива за санитетска и службена возила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КНЕЗ ПЕТРОЛ ДОО ЗЕМУН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ЦАРИЦЕ ЈЕЛЕНЕ,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7.594.734,00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9.113.500,00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погонског горива за санитетска и службена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2533/2022, 05.09.2022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09134200-Дизел гориво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погонског горива за службена возила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Ф02-0033405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15.09.2022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Мирослав Станојчић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Дарко Новичић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погонског горива за санитетска и службена возила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15.09.2022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15.09.2022 12:15:10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ДWН122300/из-до/1158/2022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8.9.2022. 12:32:09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1746/ЈН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13.9.2022. 15:08:02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7594734.00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7862084.00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7594734.00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7862084.00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7.594.734,00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9.113.500,00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понуђача се не одбија, иако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7.862.084,00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9.434.500,00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понуђача се не одбија, иако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7.594.734,00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7.862.084,00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се додељује изабраном понуђачу, иако понуђена вредност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 xml:space="preserve">Уговор се додељује изабраном понуђачу, иако понуђена вредност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