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tbl>
      <w:tblPr>
        <w:tblCellMar>
          <w:left w:w="0" w:type="dxa"/>
          <w:right w:w="0" w:type="dxa"/>
        </w:tblCellMar>
        <w:tblLook w:val="0000"/>
      </w:tblPr>
      <w:tblGrid>
        <w:gridCol w:w="11"/>
        <w:gridCol w:w="4422"/>
        <w:gridCol w:w="10964"/>
        <w:gridCol w:w="13"/>
        <w:gridCol w:w="179"/>
      </w:tblGrid>
      <w:tr>
        <w:tblPrEx>
          <w:tblCellMar>
            <w:left w:w="0" w:type="dxa"/>
            <w:right w:w="0" w:type="dxa"/>
          </w:tblCellMar>
          <w:tblLook w:val="0000"/>
        </w:tblPrEx>
        <w:trPr>
          <w:trHeight w:val="453"/>
        </w:trPr>
        <w:tc>
          <w:tcPr>
            <w:tcW w:w="15589" w:type="dxa"/>
            <w:gridSpan w:val="5"/>
            <w:shd w:val="clear" w:color="auto" w:fill="auto"/>
          </w:tcPr>
          <w:tbl>
            <w:tblPr>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bidi w:val="0"/>
                    <w:jc w:val="center"/>
                  </w:pPr>
                  <w:r>
                    <w:rPr>
                      <w:rFonts w:ascii="Calibri" w:eastAsia="Calibri" w:hAnsi="Calibri"/>
                      <w:b/>
                      <w:i w:val="0"/>
                      <w:color w:val="000000"/>
                      <w:sz w:val="28"/>
                    </w:rPr>
                    <w:t>ИЗВЕШТАЈ О ПОСТУПКУ</w:t>
                  </w:r>
                </w:p>
              </w:tc>
            </w:tr>
          </w:tbl>
          <w:p/>
        </w:tc>
      </w:tr>
      <w:tr>
        <w:tblPrEx>
          <w:tblCellMar>
            <w:left w:w="0" w:type="dxa"/>
            <w:right w:w="0" w:type="dxa"/>
          </w:tblCellMar>
          <w:tblLook w:val="0000"/>
        </w:tblPrEx>
        <w:trPr>
          <w:trHeight w:val="453"/>
        </w:trPr>
        <w:tc>
          <w:tcPr>
            <w:tcW w:w="15589" w:type="dxa"/>
            <w:gridSpan w:val="5"/>
            <w:shd w:val="clear" w:color="auto" w:fill="auto"/>
          </w:tcPr>
          <w:tbl>
            <w:tblPr>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bidi w:val="0"/>
                    <w:jc w:val="center"/>
                  </w:pPr>
                  <w:r>
                    <w:rPr>
                      <w:rFonts w:ascii="Calibri" w:eastAsia="Calibri" w:hAnsi="Calibri"/>
                      <w:b w:val="0"/>
                      <w:i w:val="0"/>
                      <w:color w:val="000000"/>
                      <w:sz w:val="20"/>
                    </w:rPr>
                    <w:t>Датум креирања извештаја: 10.05.2023 11:09:58</w:t>
                  </w:r>
                </w:p>
              </w:tc>
            </w:tr>
          </w:tbl>
          <w:p/>
        </w:tc>
      </w:tr>
      <w:tr>
        <w:tblPrEx>
          <w:tblCellMar>
            <w:left w:w="0" w:type="dxa"/>
            <w:right w:w="0" w:type="dxa"/>
          </w:tblCellMar>
          <w:tblLook w:val="0000"/>
        </w:tblPrEx>
        <w:trPr>
          <w:trHeight w:val="40"/>
        </w:trPr>
        <w:tc>
          <w:tcPr>
            <w:tcW w:w="11" w:type="dxa"/>
            <w:shd w:val="clear" w:color="auto" w:fill="auto"/>
          </w:tcPr>
          <w:p>
            <w:pPr>
              <w:pStyle w:val="EmptyLayoutCell"/>
            </w:pPr>
          </w:p>
        </w:tc>
        <w:tc>
          <w:tcPr>
            <w:tcW w:w="4422" w:type="dxa"/>
            <w:shd w:val="clear" w:color="auto" w:fill="auto"/>
          </w:tcPr>
          <w:p>
            <w:pPr>
              <w:pStyle w:val="EmptyLayoutCell"/>
            </w:pPr>
          </w:p>
        </w:tc>
        <w:tc>
          <w:tcPr>
            <w:tcW w:w="10964"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5397" w:type="dxa"/>
            <w:gridSpan w:val="3"/>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bidi w:val="0"/>
                    <w:jc w:val="left"/>
                  </w:pPr>
                  <w:r>
                    <w:rPr>
                      <w:rFonts w:ascii="Calibri" w:eastAsia="Calibri" w:hAnsi="Calibri"/>
                      <w:b/>
                      <w:i w:val="0"/>
                      <w:color w:val="000000"/>
                      <w:sz w:val="24"/>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Назив поступка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Реагенси и потрошни материјал за биохемијски анализатор "БЕХРИНГ ФИБРИНТИМЕР ИИ (БФТ ИИ) произвођача "Сиеменс Хеалтхцаре Диагностицс Гмбх"</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Реф. број</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ЈН 3</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Врста поступка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Преговарачки поступак без објављивања јавног позива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Број и датум одлуке о спровођењу</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1263/2021, 19.04.2021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Процењена вредност</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300.000,00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Техника</w:t>
                  </w:r>
                </w:p>
              </w:tc>
              <w:tc>
                <w:tcPr>
                  <w:tcW w:w="11645" w:type="dxa"/>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ЦПВ</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33696500-Лабораторијски реагенси</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Кратак опис набавке</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Набавка реагенаса за функционисање лабораторије у установи</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Подељен у партије</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НЕ</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Образложење зашто предмет није подељен у партије</w:t>
                  </w:r>
                </w:p>
              </w:tc>
              <w:tc>
                <w:tcPr>
                  <w:tcW w:w="11645" w:type="dxa"/>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Правни основ за покретање поступка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Члан 61. став 1. тач. 1) подтач. (1)-само одређени привредни субјект може да испоручи добра, пружи услуге или изведе радове - циљ набавке је стварање или куповина јединственог уметничког дела или уметничког извођења</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Образложење правног основа за покретање поступка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 xml:space="preserve">Наручилац има потребу за набавком лабораторијских реагенаса за крвне слике за апарат  БЕХРИНГ ФИБРИНТИМЕР ИИ ( БФТ ИИ ) произвођача Сименс Хеалтхцаре Диагностицс ГмбХ који  је један од најсавременијих биохемијских анализатора на нашем тржишту. Апарат набављен од  јединог овлашћеног дистрибутера Теамедицал д.о.о, Аугуста Цесарца 17, 11000 Београд, ПИБ 112323380, мат.бр. 21650668, је апарат на коме се могу користити искључиво оригинални реагенси, односно реагенси које дистрибуира понуђач Теамедицал д.о.о., на територији Републике Србије. У питању је апарат затвореног система чији је једини овлашћени дистрибутер поменути понуђач. Тестирање путем овог апарата даје валидне резултате уколико су реагенси за дати апарат валидирани од стране произвођача, што је у овом случају потврдио произвођач Сименс Хеалтхцаре Диагностицс ГмбХ, својом изјавом. </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Број огласа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2021/С Ф26-0000446</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Врста огласа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Обавештење о спровођењу преговарачког поступка без објављивања јавног позива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Објављено</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20.04.2021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Рок за подношење</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05.05.2021 12:00:00</w:t>
                  </w:r>
                </w:p>
              </w:tc>
            </w:tr>
          </w:tbl>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5410" w:type="dxa"/>
            <w:gridSpan w:val="4"/>
            <w:shd w:val="clear" w:color="auto" w:fill="auto"/>
          </w:tcPr>
          <w:tbl>
            <w:tblPr>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4"/>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Calibri" w:eastAsia="Calibri" w:hAnsi="Calibri"/>
                      <w:b w:val="0"/>
                      <w:i w:val="0"/>
                      <w:color w:val="000000"/>
                      <w:sz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Мирко Стевановић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Јелена Ћилерџић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Вања Лазовић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Саша Перовић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Марина Перовић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Саша Радисављевић</w:t>
                  </w:r>
                </w:p>
              </w:tc>
            </w:tr>
          </w:tbl>
          <w:p/>
        </w:tc>
        <w:tc>
          <w:tcPr>
            <w:tcW w:w="179" w:type="dxa"/>
            <w:shd w:val="clear" w:color="auto" w:fill="auto"/>
          </w:tcPr>
          <w:p>
            <w:pPr>
              <w:pStyle w:val="EmptyLayoutCell"/>
            </w:pPr>
          </w:p>
        </w:tc>
      </w:tr>
      <w:tr>
        <w:tblPrEx>
          <w:tblCellMar>
            <w:left w:w="0" w:type="dxa"/>
            <w:right w:w="0" w:type="dxa"/>
          </w:tblCellMar>
          <w:tblLook w:val="0000"/>
        </w:tblPrEx>
        <w:trPr>
          <w:trHeight w:val="510"/>
        </w:trPr>
        <w:tc>
          <w:tcPr>
            <w:tcW w:w="15410" w:type="dxa"/>
            <w:gridSpan w:val="4"/>
            <w:shd w:val="clear" w:color="auto" w:fill="auto"/>
          </w:tcPr>
          <w:tbl>
            <w:tblPr>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32"/>
              </w:trPr>
              <w:tc>
                <w:tcPr>
                  <w:tcW w:w="15411" w:type="dxa"/>
                  <w:shd w:val="clear" w:color="auto" w:fill="808080"/>
                  <w:tcMar>
                    <w:top w:w="39" w:type="dxa"/>
                    <w:left w:w="39" w:type="dxa"/>
                    <w:bottom w:w="39" w:type="dxa"/>
                    <w:right w:w="39" w:type="dxa"/>
                  </w:tcMar>
                </w:tcPr>
                <w:p>
                  <w:pPr>
                    <w:bidi w:val="0"/>
                    <w:jc w:val="center"/>
                  </w:pPr>
                  <w:r>
                    <w:rPr>
                      <w:rFonts w:ascii="Calibri" w:eastAsia="Calibri" w:hAnsi="Calibri"/>
                      <w:b w:val="0"/>
                      <w:i w:val="0"/>
                      <w:color w:val="FFFFFF"/>
                      <w:sz w:val="28"/>
                    </w:rPr>
                    <w:t>Фаза поступка: Почетне понуде</w:t>
                  </w:r>
                </w:p>
              </w:tc>
            </w:tr>
          </w:tbl>
          <w:p/>
        </w:tc>
        <w:tc>
          <w:tcPr>
            <w:tcW w:w="179" w:type="dxa"/>
            <w:shd w:val="clear" w:color="auto" w:fill="auto"/>
          </w:tcPr>
          <w:p>
            <w:pPr>
              <w:pStyle w:val="EmptyLayoutCell"/>
            </w:pPr>
          </w:p>
        </w:tc>
      </w:tr>
      <w:tr>
        <w:tblPrEx>
          <w:tblCellMar>
            <w:left w:w="0" w:type="dxa"/>
            <w:right w:w="0" w:type="dxa"/>
          </w:tblCellMar>
          <w:tblLook w:val="0000"/>
        </w:tblPrEx>
        <w:tc>
          <w:tcPr>
            <w:tcW w:w="15397" w:type="dxa"/>
            <w:gridSpan w:val="3"/>
            <w:shd w:val="clear" w:color="auto" w:fill="auto"/>
          </w:tcPr>
          <w:tbl>
            <w:tblPr>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4"/>
                    </w:rPr>
                    <w:t>Подаци о предмету / партијама</w:t>
                  </w:r>
                </w:p>
              </w:tc>
            </w:tr>
            <w:tr>
              <w:tblPrEx>
                <w:tblInd w:w="39" w:type="dxa"/>
                <w:tblCellMar>
                  <w:left w:w="0" w:type="dxa"/>
                  <w:right w:w="0" w:type="dxa"/>
                </w:tblCellMar>
                <w:tblLook w:val="0000"/>
              </w:tblPrEx>
              <w:trPr>
                <w:trHeight w:val="68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Реагенси и потрошни материјал за биохемијски анализатор "БЕХРИНГ ФИБРИНТИМЕР ИИ (БФТ ИИ) произвођача "Сиеменс Хеалтхцаре Диагностицс Гмбх"</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bl>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rPr>
          <w:trHeight w:val="56"/>
        </w:trPr>
        <w:tc>
          <w:tcPr>
            <w:tcW w:w="11" w:type="dxa"/>
            <w:shd w:val="clear" w:color="auto" w:fill="auto"/>
          </w:tcPr>
          <w:p>
            <w:pPr>
              <w:pStyle w:val="EmptyLayoutCell"/>
            </w:pPr>
          </w:p>
        </w:tc>
        <w:tc>
          <w:tcPr>
            <w:tcW w:w="4422" w:type="dxa"/>
            <w:shd w:val="clear" w:color="auto" w:fill="auto"/>
          </w:tcPr>
          <w:p>
            <w:pPr>
              <w:pStyle w:val="EmptyLayoutCell"/>
            </w:pPr>
          </w:p>
        </w:tc>
        <w:tc>
          <w:tcPr>
            <w:tcW w:w="10964"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1" w:type="dxa"/>
            <w:shd w:val="clear" w:color="auto" w:fill="auto"/>
          </w:tcPr>
          <w:p>
            <w:pPr>
              <w:pStyle w:val="EmptyLayoutCell"/>
            </w:pPr>
          </w:p>
        </w:tc>
        <w:tc>
          <w:tcPr>
            <w:tcW w:w="15386" w:type="dxa"/>
            <w:gridSpan w:val="2"/>
            <w:shd w:val="clear" w:color="auto" w:fill="auto"/>
          </w:tcPr>
          <w:tbl>
            <w:tblPr>
              <w:tblInd w:w="39" w:type="dxa"/>
              <w:tblCellMar>
                <w:left w:w="0" w:type="dxa"/>
                <w:right w:w="0" w:type="dxa"/>
              </w:tblCellMar>
              <w:tblLook w:val="0000"/>
            </w:tblPr>
            <w:tblGrid>
              <w:gridCol w:w="3741"/>
              <w:gridCol w:w="11644"/>
            </w:tblGrid>
            <w:tr>
              <w:tblPrEx>
                <w:tblInd w:w="39" w:type="dxa"/>
                <w:tblCellMar>
                  <w:left w:w="0" w:type="dxa"/>
                  <w:right w:w="0" w:type="dxa"/>
                </w:tblCellMar>
                <w:tblLook w:val="0000"/>
              </w:tblPrEx>
              <w:trPr>
                <w:trHeight w:val="375"/>
              </w:trPr>
              <w:tc>
                <w:tcPr>
                  <w:tcW w:w="15385" w:type="dxa"/>
                  <w:gridSpan w:val="2"/>
                  <w:shd w:val="clear" w:color="auto" w:fill="auto"/>
                  <w:tcMar>
                    <w:top w:w="39" w:type="dxa"/>
                    <w:left w:w="39" w:type="dxa"/>
                    <w:bottom w:w="39" w:type="dxa"/>
                    <w:right w:w="39" w:type="dxa"/>
                  </w:tcMar>
                </w:tcPr>
                <w:p>
                  <w:pPr>
                    <w:bidi w:val="0"/>
                    <w:jc w:val="left"/>
                  </w:pPr>
                  <w:r>
                    <w:rPr>
                      <w:rFonts w:ascii="Arial" w:eastAsia="Arial" w:hAnsi="Arial"/>
                      <w:b/>
                      <w:i w:val="0"/>
                      <w:color w:val="000000"/>
                      <w:sz w:val="24"/>
                    </w:rPr>
                    <w:t>Позиви</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Датум и време упућивања позива:</w:t>
                  </w:r>
                </w:p>
              </w:tc>
              <w:tc>
                <w:tcPr>
                  <w:tcW w:w="1164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20.04.2021 07:32:43</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Рок за подношење:</w:t>
                  </w:r>
                </w:p>
              </w:tc>
              <w:tc>
                <w:tcPr>
                  <w:tcW w:w="1164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05.05.2021 12:00:00</w:t>
                  </w:r>
                </w:p>
              </w:tc>
            </w:tr>
          </w:tbl>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1" w:type="dxa"/>
            <w:shd w:val="clear" w:color="auto" w:fill="auto"/>
          </w:tcPr>
          <w:p>
            <w:pPr>
              <w:pStyle w:val="EmptyLayoutCell"/>
            </w:pPr>
          </w:p>
        </w:tc>
        <w:tc>
          <w:tcPr>
            <w:tcW w:w="4422" w:type="dxa"/>
            <w:shd w:val="clear" w:color="auto" w:fill="auto"/>
          </w:tcPr>
          <w:tbl>
            <w:tblPr>
              <w:tblInd w:w="39" w:type="dxa"/>
              <w:tblCellMar>
                <w:left w:w="0" w:type="dxa"/>
                <w:right w:w="0" w:type="dxa"/>
              </w:tblCellMar>
              <w:tblLook w:val="0000"/>
            </w:tblPr>
            <w:tblGrid>
              <w:gridCol w:w="3741"/>
              <w:gridCol w:w="680"/>
            </w:tblGrid>
            <w:tr>
              <w:tblPrEx>
                <w:tblInd w:w="39" w:type="dxa"/>
                <w:tblCellMar>
                  <w:left w:w="0" w:type="dxa"/>
                  <w:right w:w="0" w:type="dxa"/>
                </w:tblCellMar>
                <w:tblLook w:val="0000"/>
              </w:tblPrEx>
              <w:trPr>
                <w:trHeight w:val="1509"/>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Позвани привредни субјекти:</w:t>
                  </w:r>
                </w:p>
              </w:tc>
              <w:tc>
                <w:tcPr>
                  <w:tcW w:w="68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extDirection w:val="tbRlV"/>
                </w:tcPr>
                <w:p>
                  <w:pPr>
                    <w:bidi w:val="0"/>
                    <w:jc w:val="left"/>
                  </w:pPr>
                  <w:r>
                    <w:rPr>
                      <w:rFonts w:ascii="Arial" w:eastAsia="Arial" w:hAnsi="Arial"/>
                      <w:b/>
                      <w:i w:val="0"/>
                      <w:color w:val="000000"/>
                      <w:sz w:val="20"/>
                    </w:rPr>
                    <w:t>112323380</w:t>
                    <w:br/>
                    <w:t>Теамедицал доо</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Реагенси и потрошни материјал за биохемијски анализатор "БЕХРИНГ ФИБРИНТИМЕР ИИ (БФТ ИИ) произвођача "Сиеменс Хеалтхцаре Диагностицс Гмбх"</w:t>
                  </w:r>
                </w:p>
              </w:tc>
              <w:tc>
                <w:tcPr>
                  <w:tcW w:w="68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center"/>
                  </w:pPr>
                  <w:r>
                    <w:rPr>
                      <w:rFonts w:ascii="Arial" w:eastAsia="Arial" w:hAnsi="Arial"/>
                      <w:b w:val="0"/>
                      <w:i w:val="0"/>
                      <w:color w:val="000000"/>
                      <w:sz w:val="20"/>
                    </w:rPr>
                    <w:t>X</w:t>
                  </w:r>
                </w:p>
              </w:tc>
            </w:tr>
          </w:tbl>
          <w:p/>
        </w:tc>
        <w:tc>
          <w:tcPr>
            <w:tcW w:w="10964"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rPr>
          <w:trHeight w:val="755"/>
        </w:trPr>
        <w:tc>
          <w:tcPr>
            <w:tcW w:w="11" w:type="dxa"/>
            <w:shd w:val="clear" w:color="auto" w:fill="auto"/>
          </w:tcPr>
          <w:p>
            <w:pPr>
              <w:pStyle w:val="EmptyLayoutCell"/>
            </w:pPr>
          </w:p>
        </w:tc>
        <w:tc>
          <w:tcPr>
            <w:tcW w:w="4422" w:type="dxa"/>
            <w:shd w:val="clear" w:color="auto" w:fill="auto"/>
          </w:tcPr>
          <w:p>
            <w:pPr>
              <w:pStyle w:val="EmptyLayoutCell"/>
            </w:pPr>
          </w:p>
        </w:tc>
        <w:tc>
          <w:tcPr>
            <w:tcW w:w="10964"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bl>
    <w:p/>
    <w:sectPr>
      <w:pgSz w:w="16837" w:h="11905" w:orient="landscape"/>
      <w:pgMar w:top="566" w:right="566" w:bottom="566" w:left="680" w:header="0" w:foo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Calibri">
    <w:panose1 w:val="020B0604020202020204"/>
    <w:charset w:val="00"/>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0000"/>
  <w:revisionView w:comments="0" w:formatting="0" w:inkAnnotations="1" w:insDel="0" w:markup="0"/>
  <w:defaultTabStop w:val="720"/>
  <w:defaultTableStyle w:val="Normal"/>
  <w:displayHorizontalDrawingGridEvery w:val="0"/>
  <w:displayVerticalDrawingGridEvery w:val="0"/>
  <w:doNotUseMarginsForDrawingGridOrigin/>
  <w:drawingGridHorizontalOrigin w:val="1701"/>
  <w:drawingGridVerticalOrigin w:val="1984"/>
  <w:noPunctuationKerning/>
  <w:characterSpacingControl w:val="doNotCompress"/>
  <w:doNotEmbedSmartTag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w w:val="85"/>
      <w:lang w:val="en-US" w:eastAsia="en-US"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EmptyLayoutCell">
    <w:name w:val="EmptyLayoutCell"/>
    <w:basedOn w:val="Normal"/>
    <w:rPr>
      <w:w w:val="85"/>
      <w:sz w:val="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