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tbl>
      <w:tblPr>
        <w:tblCellMar>
          <w:left w:w="0" w:type="dxa"/>
          <w:right w:w="0" w:type="dxa"/>
        </w:tblCellMar>
        <w:tblLook w:val="0000"/>
      </w:tblPr>
      <w:tblGrid>
        <w:gridCol w:w="15397"/>
        <w:gridCol w:w="13"/>
        <w:gridCol w:w="179"/>
      </w:tblGrid>
      <w:tr>
        <w:tblPrEx>
          <w:tblCellMar>
            <w:left w:w="0" w:type="dxa"/>
            <w:right w:w="0" w:type="dxa"/>
          </w:tblCellMar>
          <w:tblLook w:val="0000"/>
        </w:tblPrEx>
        <w:trPr>
          <w:trHeight w:val="453"/>
        </w:trPr>
        <w:tc>
          <w:tcPr>
            <w:tcW w:w="15589" w:type="dxa"/>
            <w:gridSpan w:val="3"/>
            <w:shd w:val="clear" w:color="auto" w:fill="auto"/>
          </w:tcPr>
          <w:tbl>
            <w:tblPr>
              <w:tblInd w:w="39" w:type="dxa"/>
              <w:tblCellMar>
                <w:left w:w="0" w:type="dxa"/>
                <w:right w:w="0" w:type="dxa"/>
              </w:tblCellMar>
              <w:tblLook w:val="0000"/>
            </w:tblPr>
            <w:tblGrid>
              <w:gridCol w:w="15590"/>
            </w:tblGrid>
            <w:tr>
              <w:tblPrEx>
                <w:tblInd w:w="39" w:type="dxa"/>
                <w:tblCellMar>
                  <w:left w:w="0" w:type="dxa"/>
                  <w:right w:w="0" w:type="dxa"/>
                </w:tblCellMar>
                <w:tblLook w:val="0000"/>
              </w:tblPrEx>
              <w:trPr>
                <w:trHeight w:val="375"/>
              </w:trPr>
              <w:tc>
                <w:tcPr>
                  <w:tcW w:w="15590" w:type="dxa"/>
                  <w:shd w:val="clear" w:color="auto" w:fill="auto"/>
                  <w:tcMar>
                    <w:top w:w="39" w:type="dxa"/>
                    <w:left w:w="39" w:type="dxa"/>
                    <w:bottom w:w="39" w:type="dxa"/>
                    <w:right w:w="39" w:type="dxa"/>
                  </w:tcMar>
                </w:tcPr>
                <w:p>
                  <w:pPr>
                    <w:bidi w:val="0"/>
                    <w:jc w:val="center"/>
                  </w:pPr>
                  <w:r>
                    <w:rPr>
                      <w:rFonts w:ascii="Calibri" w:eastAsia="Calibri" w:hAnsi="Calibri"/>
                      <w:b/>
                      <w:i w:val="0"/>
                      <w:color w:val="000000"/>
                      <w:sz w:val="28"/>
                    </w:rPr>
                    <w:t>ИЗВЕШТАЈ О ПОСТУПКУ</w:t>
                  </w:r>
                </w:p>
              </w:tc>
            </w:tr>
          </w:tbl>
          <w:p/>
        </w:tc>
      </w:tr>
      <w:tr>
        <w:tblPrEx>
          <w:tblCellMar>
            <w:left w:w="0" w:type="dxa"/>
            <w:right w:w="0" w:type="dxa"/>
          </w:tblCellMar>
          <w:tblLook w:val="0000"/>
        </w:tblPrEx>
        <w:trPr>
          <w:trHeight w:val="453"/>
        </w:trPr>
        <w:tc>
          <w:tcPr>
            <w:tcW w:w="15589" w:type="dxa"/>
            <w:gridSpan w:val="3"/>
            <w:shd w:val="clear" w:color="auto" w:fill="auto"/>
          </w:tcPr>
          <w:tbl>
            <w:tblPr>
              <w:tblInd w:w="39" w:type="dxa"/>
              <w:tblCellMar>
                <w:left w:w="0" w:type="dxa"/>
                <w:right w:w="0" w:type="dxa"/>
              </w:tblCellMar>
              <w:tblLook w:val="0000"/>
            </w:tblPr>
            <w:tblGrid>
              <w:gridCol w:w="15590"/>
            </w:tblGrid>
            <w:tr>
              <w:tblPrEx>
                <w:tblInd w:w="39" w:type="dxa"/>
                <w:tblCellMar>
                  <w:left w:w="0" w:type="dxa"/>
                  <w:right w:w="0" w:type="dxa"/>
                </w:tblCellMar>
                <w:tblLook w:val="0000"/>
              </w:tblPrEx>
              <w:trPr>
                <w:trHeight w:val="375"/>
              </w:trPr>
              <w:tc>
                <w:tcPr>
                  <w:tcW w:w="15590" w:type="dxa"/>
                  <w:shd w:val="clear" w:color="auto" w:fill="auto"/>
                  <w:tcMar>
                    <w:top w:w="39" w:type="dxa"/>
                    <w:left w:w="39" w:type="dxa"/>
                    <w:bottom w:w="39" w:type="dxa"/>
                    <w:right w:w="39" w:type="dxa"/>
                  </w:tcMar>
                </w:tcPr>
                <w:p>
                  <w:pPr>
                    <w:bidi w:val="0"/>
                    <w:jc w:val="center"/>
                  </w:pPr>
                  <w:r>
                    <w:rPr>
                      <w:rFonts w:ascii="Calibri" w:eastAsia="Calibri" w:hAnsi="Calibri"/>
                      <w:b w:val="0"/>
                      <w:i w:val="0"/>
                      <w:color w:val="000000"/>
                      <w:sz w:val="20"/>
                    </w:rPr>
                    <w:t>Датум креирања извештаја: 11.05.2023 07:26:26</w:t>
                  </w:r>
                </w:p>
              </w:tc>
            </w:tr>
          </w:tbl>
          <w:p/>
        </w:tc>
      </w:tr>
      <w:tr>
        <w:tblPrEx>
          <w:tblCellMar>
            <w:left w:w="0" w:type="dxa"/>
            <w:right w:w="0" w:type="dxa"/>
          </w:tblCellMar>
          <w:tblLook w:val="0000"/>
        </w:tblPrEx>
        <w:trPr>
          <w:trHeight w:val="40"/>
        </w:trPr>
        <w:tc>
          <w:tcPr>
            <w:tcW w:w="15397" w:type="dxa"/>
            <w:shd w:val="clear" w:color="auto" w:fill="auto"/>
          </w:tcPr>
          <w:p>
            <w:pPr>
              <w:pStyle w:val="EmptyLayoutCell"/>
            </w:pPr>
          </w:p>
        </w:tc>
        <w:tc>
          <w:tcPr>
            <w:tcW w:w="13" w:type="dxa"/>
            <w:shd w:val="clear" w:color="auto" w:fill="auto"/>
          </w:tcPr>
          <w:p>
            <w:pPr>
              <w:pStyle w:val="EmptyLayoutCell"/>
            </w:pPr>
          </w:p>
        </w:tc>
        <w:tc>
          <w:tcPr>
            <w:tcW w:w="179" w:type="dxa"/>
            <w:shd w:val="clear" w:color="auto" w:fill="auto"/>
          </w:tcPr>
          <w:p>
            <w:pPr>
              <w:pStyle w:val="EmptyLayoutCell"/>
            </w:pPr>
          </w:p>
        </w:tc>
      </w:tr>
      <w:tr>
        <w:tblPrEx>
          <w:tblCellMar>
            <w:left w:w="0" w:type="dxa"/>
            <w:right w:w="0" w:type="dxa"/>
          </w:tblCellMar>
          <w:tblLook w:val="0000"/>
        </w:tblPrEx>
        <w:tc>
          <w:tcPr>
            <w:tcW w:w="15397" w:type="dxa"/>
            <w:shd w:val="clear" w:color="auto" w:fill="auto"/>
          </w:tcPr>
          <w:tbl>
            <w:tblPr>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545"/>
              </w:trPr>
              <w:tc>
                <w:tcPr>
                  <w:tcW w:w="15397" w:type="dxa"/>
                  <w:gridSpan w:val="2"/>
                  <w:shd w:val="clear" w:color="auto" w:fill="auto"/>
                  <w:tcMar>
                    <w:top w:w="39" w:type="dxa"/>
                    <w:left w:w="39" w:type="dxa"/>
                    <w:bottom w:w="39" w:type="dxa"/>
                    <w:right w:w="39" w:type="dxa"/>
                  </w:tcMar>
                </w:tcPr>
                <w:p>
                  <w:pPr>
                    <w:bidi w:val="0"/>
                    <w:jc w:val="left"/>
                  </w:pPr>
                  <w:r>
                    <w:rPr>
                      <w:rFonts w:ascii="Calibri" w:eastAsia="Calibri" w:hAnsi="Calibri"/>
                      <w:b/>
                      <w:i w:val="0"/>
                      <w:color w:val="000000"/>
                      <w:sz w:val="24"/>
                    </w:rPr>
                    <w:t>Подаци о поступку</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Назив поступка</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Набавка реагенаса за апарат НеоЦхем 40</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Реф. број</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ЈН 1</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Врста поступка</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Преговарачки поступак без објављивања јавног позива</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Број и датум одлуке о спровођењу</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731/2022, 14.03.2022</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Процењена вредност</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1.556.000,00</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Техника</w:t>
                  </w:r>
                </w:p>
              </w:tc>
              <w:tc>
                <w:tcPr>
                  <w:tcW w:w="11645" w:type="dxa"/>
                  <w:shd w:val="clear" w:color="auto" w:fill="auto"/>
                  <w:tcMar>
                    <w:top w:w="39" w:type="dxa"/>
                    <w:left w:w="39" w:type="dxa"/>
                    <w:bottom w:w="39" w:type="dxa"/>
                    <w:right w:w="39" w:type="dxa"/>
                  </w:tcMar>
                </w:tc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ЦПВ</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33696500-Лабораторијски реагенси</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Кратак опис набавке</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Набавка неопходних реагенаса</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Подељен у партије</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НЕ</w:t>
                  </w:r>
                </w:p>
              </w:tc>
            </w:tr>
            <w:tr>
              <w:tblPrEx>
                <w:tblInd w:w="39" w:type="dxa"/>
                <w:tblCellMar>
                  <w:left w:w="0" w:type="dxa"/>
                  <w:right w:w="0" w:type="dxa"/>
                </w:tblCellMar>
                <w:tblLook w:val="0000"/>
              </w:tblPrEx>
              <w:trPr>
                <w:trHeight w:val="60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Образложење зашто предмет није подељен у партије</w:t>
                  </w:r>
                </w:p>
              </w:tc>
              <w:tc>
                <w:tcPr>
                  <w:tcW w:w="11645" w:type="dxa"/>
                  <w:shd w:val="clear" w:color="auto" w:fill="auto"/>
                  <w:tcMar>
                    <w:top w:w="39" w:type="dxa"/>
                    <w:left w:w="39" w:type="dxa"/>
                    <w:bottom w:w="39" w:type="dxa"/>
                    <w:right w:w="39" w:type="dxa"/>
                  </w:tcMar>
                </w:tc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Правни основ за покретање поступка</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 xml:space="preserve">Члан 61. став 1. тач. 1) подтач. (2)-само одређени привредни субјект може да испоручи добра, пружи услуге или изведе радове - непостојање конкуренције из техничких разлога </w:t>
                  </w:r>
                </w:p>
              </w:tc>
            </w:tr>
            <w:tr>
              <w:tblPrEx>
                <w:tblInd w:w="39" w:type="dxa"/>
                <w:tblCellMar>
                  <w:left w:w="0" w:type="dxa"/>
                  <w:right w:w="0" w:type="dxa"/>
                </w:tblCellMar>
                <w:tblLook w:val="0000"/>
              </w:tblPrEx>
              <w:trPr>
                <w:trHeight w:val="60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Образложење правног основа за покретање поступка</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 xml:space="preserve">Наручилац има потребу за набавком реагенаса и контрола за апарат „НЕО Цхем 40“, који представља један од најсавременијих биохемијских анализатора на нашем тржишту. Апарат набављен од произвођача и  јединог овлашћеног дистрибутера НеоМедица д.о.о, Бул св.цара Константина 82-86, 18000 Ниш, ПИБ 101531456, мат.бр. 17290100, је апарат на којем се могу користити искључиво оригинални реагенси, односно реагенси које дистрибуира понуђач - произвођач НеоМедица д.о.о., Ниш, на територији Републике Србије. У питању је апарат затвореног система чији је једини овлашћени дистрибутер поменути понуђач. Тестирање путем овог апарата даје валидне резултате уколико су реагенси за дати апарат валидирани од стране произвођача НеоМедица д.о.о, што је у овом случају потврдио произвођач НеоМедица д.о.о, својом изјавом. </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Број огласа</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2022/С Ф26-0000348</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Врста огласа</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Обавештење о спровођењу преговарачког поступка без објављивања јавног позива</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Објављено</w:t>
                  </w:r>
                </w:p>
              </w:tc>
              <w:tc>
                <w:tcPr>
                  <w:tcW w:w="11645"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0"/>
                    </w:rPr>
                    <w:t>28.03.2022</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Рок за подношење</w:t>
                  </w:r>
                </w:p>
              </w:tc>
              <w:tc>
                <w:tcPr>
                  <w:tcW w:w="11645" w:type="dxa"/>
                  <w:shd w:val="clear" w:color="auto" w:fill="auto"/>
                  <w:tcMar>
                    <w:top w:w="39" w:type="dxa"/>
                    <w:left w:w="39" w:type="dxa"/>
                    <w:bottom w:w="39" w:type="dxa"/>
                    <w:right w:w="39" w:type="dxa"/>
                  </w:tcMar>
                </w:tcPr>
                <w:p/>
              </w:tc>
            </w:tr>
          </w:tbl>
          <w:p/>
        </w:tc>
        <w:tc>
          <w:tcPr>
            <w:tcW w:w="13" w:type="dxa"/>
            <w:shd w:val="clear" w:color="auto" w:fill="auto"/>
          </w:tcPr>
          <w:p>
            <w:pPr>
              <w:pStyle w:val="EmptyLayoutCell"/>
            </w:pPr>
          </w:p>
        </w:tc>
        <w:tc>
          <w:tcPr>
            <w:tcW w:w="179" w:type="dxa"/>
            <w:shd w:val="clear" w:color="auto" w:fill="auto"/>
          </w:tcPr>
          <w:p>
            <w:pPr>
              <w:pStyle w:val="EmptyLayoutCell"/>
            </w:pPr>
          </w:p>
        </w:tc>
      </w:tr>
      <w:tr>
        <w:tblPrEx>
          <w:tblCellMar>
            <w:left w:w="0" w:type="dxa"/>
            <w:right w:w="0" w:type="dxa"/>
          </w:tblCellMar>
          <w:tblLook w:val="0000"/>
        </w:tblPrEx>
        <w:tc>
          <w:tcPr>
            <w:tcW w:w="15410" w:type="dxa"/>
            <w:gridSpan w:val="2"/>
            <w:shd w:val="clear" w:color="auto" w:fill="auto"/>
          </w:tcPr>
          <w:tbl>
            <w:tblPr>
              <w:tblInd w:w="39" w:type="dxa"/>
              <w:tblCellMar>
                <w:left w:w="0" w:type="dxa"/>
                <w:right w:w="0" w:type="dxa"/>
              </w:tblCellMar>
              <w:tblLook w:val="0000"/>
            </w:tblPr>
            <w:tblGrid>
              <w:gridCol w:w="15410"/>
            </w:tblGrid>
            <w:tr>
              <w:tblPrEx>
                <w:tblInd w:w="39" w:type="dxa"/>
                <w:tblCellMar>
                  <w:left w:w="0" w:type="dxa"/>
                  <w:right w:w="0" w:type="dxa"/>
                </w:tblCellMar>
                <w:tblLook w:val="0000"/>
              </w:tblPrEx>
              <w:trPr>
                <w:trHeight w:val="432"/>
              </w:trPr>
              <w:tc>
                <w:tcPr>
                  <w:tcW w:w="15410"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4"/>
                    </w:rPr>
                    <w:t>Чланови комисије за јавну набавку</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bidi w:val="0"/>
                    <w:jc w:val="left"/>
                  </w:pPr>
                  <w:r>
                    <w:rPr>
                      <w:rFonts w:ascii="Calibri" w:eastAsia="Calibri" w:hAnsi="Calibri"/>
                      <w:b w:val="0"/>
                      <w:i w:val="0"/>
                      <w:color w:val="000000"/>
                      <w:sz w:val="20"/>
                    </w:rPr>
                    <w:t>Име и презиме</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Мирко Стевановић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Милица Вујанац</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Вања Лазовић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Саша Перовић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Марина Перовић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Calibri" w:eastAsia="Calibri" w:hAnsi="Calibri"/>
                      <w:b w:val="0"/>
                      <w:i w:val="0"/>
                      <w:color w:val="000000"/>
                      <w:sz w:val="20"/>
                    </w:rPr>
                    <w:t>Саша Радисављевић</w:t>
                  </w:r>
                </w:p>
              </w:tc>
            </w:tr>
          </w:tbl>
          <w:p/>
        </w:tc>
        <w:tc>
          <w:tcPr>
            <w:tcW w:w="179" w:type="dxa"/>
            <w:shd w:val="clear" w:color="auto" w:fill="auto"/>
          </w:tcPr>
          <w:p>
            <w:pPr>
              <w:pStyle w:val="EmptyLayoutCell"/>
            </w:pPr>
          </w:p>
        </w:tc>
      </w:tr>
      <w:tr>
        <w:tblPrEx>
          <w:tblCellMar>
            <w:left w:w="0" w:type="dxa"/>
            <w:right w:w="0" w:type="dxa"/>
          </w:tblCellMar>
          <w:tblLook w:val="0000"/>
        </w:tblPrEx>
        <w:trPr>
          <w:trHeight w:val="510"/>
        </w:trPr>
        <w:tc>
          <w:tcPr>
            <w:tcW w:w="15410" w:type="dxa"/>
            <w:gridSpan w:val="2"/>
            <w:shd w:val="clear" w:color="auto" w:fill="auto"/>
          </w:tcPr>
          <w:tbl>
            <w:tblPr>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32"/>
              </w:trPr>
              <w:tc>
                <w:tcPr>
                  <w:tcW w:w="15411" w:type="dxa"/>
                  <w:shd w:val="clear" w:color="auto" w:fill="808080"/>
                  <w:tcMar>
                    <w:top w:w="39" w:type="dxa"/>
                    <w:left w:w="39" w:type="dxa"/>
                    <w:bottom w:w="39" w:type="dxa"/>
                    <w:right w:w="39" w:type="dxa"/>
                  </w:tcMar>
                </w:tcPr>
                <w:p>
                  <w:pPr>
                    <w:bidi w:val="0"/>
                    <w:jc w:val="center"/>
                  </w:pPr>
                  <w:r>
                    <w:rPr>
                      <w:rFonts w:ascii="Calibri" w:eastAsia="Calibri" w:hAnsi="Calibri"/>
                      <w:b w:val="0"/>
                      <w:i w:val="0"/>
                      <w:color w:val="FFFFFF"/>
                      <w:sz w:val="28"/>
                    </w:rPr>
                    <w:t>Фаза поступка: Почетне понуде</w:t>
                  </w:r>
                </w:p>
              </w:tc>
            </w:tr>
          </w:tbl>
          <w:p/>
        </w:tc>
        <w:tc>
          <w:tcPr>
            <w:tcW w:w="179" w:type="dxa"/>
            <w:shd w:val="clear" w:color="auto" w:fill="auto"/>
          </w:tcPr>
          <w:p>
            <w:pPr>
              <w:pStyle w:val="EmptyLayoutCell"/>
            </w:pPr>
          </w:p>
        </w:tc>
      </w:tr>
      <w:tr>
        <w:tblPrEx>
          <w:tblCellMar>
            <w:left w:w="0" w:type="dxa"/>
            <w:right w:w="0" w:type="dxa"/>
          </w:tblCellMar>
          <w:tblLook w:val="0000"/>
        </w:tblPrEx>
        <w:tc>
          <w:tcPr>
            <w:tcW w:w="15397" w:type="dxa"/>
            <w:shd w:val="clear" w:color="auto" w:fill="auto"/>
          </w:tcPr>
          <w:tbl>
            <w:tblPr>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432"/>
              </w:trPr>
              <w:tc>
                <w:tcPr>
                  <w:tcW w:w="15397" w:type="dxa"/>
                  <w:shd w:val="clear" w:color="auto" w:fill="auto"/>
                  <w:tcMar>
                    <w:top w:w="39" w:type="dxa"/>
                    <w:left w:w="39" w:type="dxa"/>
                    <w:bottom w:w="39" w:type="dxa"/>
                    <w:right w:w="39" w:type="dxa"/>
                  </w:tcMar>
                </w:tcPr>
                <w:p>
                  <w:pPr>
                    <w:bidi w:val="0"/>
                    <w:jc w:val="left"/>
                  </w:pPr>
                  <w:r>
                    <w:rPr>
                      <w:rFonts w:ascii="Calibri" w:eastAsia="Calibri" w:hAnsi="Calibri"/>
                      <w:b/>
                      <w:i w:val="0"/>
                      <w:color w:val="000000"/>
                      <w:sz w:val="24"/>
                    </w:rPr>
                    <w:t>Подаци о предмету / партијама</w:t>
                  </w:r>
                </w:p>
              </w:tc>
            </w:tr>
            <w:tr>
              <w:tblPrEx>
                <w:tblInd w:w="39" w:type="dxa"/>
                <w:tblCellMar>
                  <w:left w:w="0" w:type="dxa"/>
                  <w:right w:w="0" w:type="dxa"/>
                </w:tblCellMar>
                <w:tblLook w:val="0000"/>
              </w:tblPrEx>
              <w:trPr>
                <w:trHeight w:val="680"/>
              </w:trPr>
              <w:tc>
                <w:tcPr>
                  <w:tcW w:w="15397" w:type="dxa"/>
                  <w:shd w:val="clear" w:color="auto" w:fill="auto"/>
                  <w:tcMar>
                    <w:top w:w="0" w:type="dxa"/>
                    <w:left w:w="0" w:type="dxa"/>
                    <w:bottom w:w="0" w:type="dxa"/>
                    <w:right w:w="0" w:type="dxa"/>
                  </w:tcMar>
                </w:tcPr>
                <w:tbl>
                  <w:tblPr>
                    <w:tblCellMar>
                      <w:left w:w="0" w:type="dxa"/>
                      <w:right w:w="0" w:type="dxa"/>
                    </w:tblCellMar>
                    <w:tblLook w:val="0000"/>
                  </w:tblPr>
                  <w:tblGrid>
                    <w:gridCol w:w="15397"/>
                  </w:tblGrid>
                  <w:tr>
                    <w:tblPrEx>
                      <w:tblCellMar>
                        <w:left w:w="0" w:type="dxa"/>
                        <w:right w:w="0" w:type="dxa"/>
                      </w:tblCellMar>
                      <w:tblLook w:val="0000"/>
                    </w:tblPrEx>
                    <w:trPr>
                      <w:trHeight w:val="680"/>
                    </w:trPr>
                    <w:tc>
                      <w:tcPr>
                        <w:tcW w:w="15397" w:type="dxa"/>
                        <w:shd w:val="clear" w:color="auto" w:fill="auto"/>
                      </w:tcPr>
                      <w:tbl>
                        <w:tblPr>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val="0"/>
                                  <w:i w:val="0"/>
                                  <w:color w:val="000000"/>
                                  <w:sz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bidi w:val="0"/>
                                <w:jc w:val="left"/>
                              </w:pPr>
                              <w:r>
                                <w:rPr>
                                  <w:rFonts w:ascii="Arial" w:eastAsia="Arial" w:hAnsi="Arial"/>
                                  <w:b/>
                                  <w:i w:val="0"/>
                                  <w:color w:val="000000"/>
                                  <w:sz w:val="20"/>
                                </w:rPr>
                                <w:t>Набавка реагенаса за апарат НеоЦхем 40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val="0"/>
                                  <w:i w:val="0"/>
                                  <w:color w:val="000000"/>
                                  <w:sz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bidi w:val="0"/>
                                <w:jc w:val="left"/>
                              </w:pPr>
                              <w:r>
                                <w:rPr>
                                  <w:rFonts w:ascii="Arial" w:eastAsia="Arial" w:hAnsi="Arial"/>
                                  <w:b/>
                                  <w:i w:val="0"/>
                                  <w:color w:val="000000"/>
                                  <w:sz w:val="20"/>
                                </w:rPr>
                                <w:t>Цене</w:t>
                              </w:r>
                            </w:p>
                          </w:tc>
                        </w:tr>
                      </w:tbl>
                      <w:p/>
                    </w:tc>
                  </w:tr>
                </w:tbl>
                <w:p/>
              </w:tc>
            </w:tr>
          </w:tbl>
          <w:p/>
        </w:tc>
        <w:tc>
          <w:tcPr>
            <w:tcW w:w="13" w:type="dxa"/>
            <w:shd w:val="clear" w:color="auto" w:fill="auto"/>
          </w:tcPr>
          <w:p>
            <w:pPr>
              <w:pStyle w:val="EmptyLayoutCell"/>
            </w:pPr>
          </w:p>
        </w:tc>
        <w:tc>
          <w:tcPr>
            <w:tcW w:w="179" w:type="dxa"/>
            <w:shd w:val="clear" w:color="auto" w:fill="auto"/>
          </w:tcPr>
          <w:p>
            <w:pPr>
              <w:pStyle w:val="EmptyLayoutCell"/>
            </w:pPr>
          </w:p>
        </w:tc>
      </w:tr>
      <w:tr>
        <w:tblPrEx>
          <w:tblCellMar>
            <w:left w:w="0" w:type="dxa"/>
            <w:right w:w="0" w:type="dxa"/>
          </w:tblCellMar>
          <w:tblLook w:val="0000"/>
        </w:tblPrEx>
        <w:trPr>
          <w:trHeight w:val="812"/>
        </w:trPr>
        <w:tc>
          <w:tcPr>
            <w:tcW w:w="15397" w:type="dxa"/>
            <w:shd w:val="clear" w:color="auto" w:fill="auto"/>
          </w:tcPr>
          <w:p>
            <w:pPr>
              <w:pStyle w:val="EmptyLayoutCell"/>
            </w:pPr>
          </w:p>
        </w:tc>
        <w:tc>
          <w:tcPr>
            <w:tcW w:w="13" w:type="dxa"/>
            <w:shd w:val="clear" w:color="auto" w:fill="auto"/>
          </w:tcPr>
          <w:p>
            <w:pPr>
              <w:pStyle w:val="EmptyLayoutCell"/>
            </w:pPr>
          </w:p>
        </w:tc>
        <w:tc>
          <w:tcPr>
            <w:tcW w:w="179" w:type="dxa"/>
            <w:shd w:val="clear" w:color="auto" w:fill="auto"/>
          </w:tcPr>
          <w:p>
            <w:pPr>
              <w:pStyle w:val="EmptyLayoutCell"/>
            </w:pPr>
          </w:p>
        </w:tc>
      </w:tr>
    </w:tbl>
    <w:p/>
    <w:sectPr>
      <w:pgSz w:w="16837" w:h="11905" w:orient="landscape"/>
      <w:pgMar w:top="566" w:right="566" w:bottom="566" w:left="680" w:header="0" w:foo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Calibri">
    <w:panose1 w:val="020B0604020202020204"/>
    <w:charset w:val="00"/>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0000"/>
  <w:revisionView w:comments="0" w:formatting="0" w:inkAnnotations="1" w:insDel="0" w:markup="0"/>
  <w:defaultTabStop w:val="720"/>
  <w:defaultTableStyle w:val="Normal"/>
  <w:displayHorizontalDrawingGridEvery w:val="0"/>
  <w:displayVerticalDrawingGridEvery w:val="0"/>
  <w:doNotUseMarginsForDrawingGridOrigin/>
  <w:drawingGridHorizontalOrigin w:val="1701"/>
  <w:drawingGridVerticalOrigin w:val="1984"/>
  <w:noPunctuationKerning/>
  <w:characterSpacingControl w:val="doNotCompress"/>
  <w:doNotEmbedSmartTag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w w:val="85"/>
      <w:lang w:val="en-US" w:eastAsia="en-US" w:bidi="ar-SA"/>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EmptyLayoutCell">
    <w:name w:val="EmptyLayoutCell"/>
    <w:basedOn w:val="Normal"/>
    <w:rPr>
      <w:w w:val="85"/>
      <w:sz w:val="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